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8"/>
        <w:rPr>
          <w:rFonts w:ascii="Montserrat" w:hAnsi="Montserrat"/>
          <w:b/>
          <w:b/>
          <w:color w:val="000000"/>
          <w:shd w:fill="auto" w:val="clear"/>
        </w:rPr>
      </w:pPr>
      <w:r>
        <w:rPr>
          <w:b/>
          <w:color w:val="000000"/>
          <w:sz w:val="24"/>
          <w:szCs w:val="24"/>
          <w:shd w:fill="auto" w:val="clear"/>
        </w:rPr>
        <w:t xml:space="preserve">Политика конфиденциальности</w:t>
      </w:r>
    </w:p>
    <w:p>
      <w:pPr>
        <w:pStyle w:val="Normal"/>
        <w:spacing w:before="0" w:after="283"/>
        <w:rPr>
          <w:rFonts w:ascii="Montserrat" w:hAnsi="Montserrat"/>
          <w:color w:val="000000"/>
          <w:shd w:fill="auto" w:val="clear"/>
        </w:rPr>
      </w:pPr>
      <w:r>
        <w:rPr>
          <w:color w:val="000000"/>
          <w:shd w:fill="auto" w:val="clear"/>
        </w:rPr>
        <w:t xml:space="preserve">и обработки персональных данных сайта «АВТОР · концепт»</w:t>
      </w:r>
    </w:p>
    <w:p>
      <w:pPr>
        <w:pStyle w:val="Normal"/>
        <w:widowControl/>
        <w:suppressAutoHyphens w:val="true"/>
        <w:bidi w:val="0"/>
        <w:spacing w:lineRule="exact" w:line="227" w:before="0" w:after="85"/>
        <w:ind w:left="0" w:right="57" w:hanging="0"/>
        <w:jc w:val="both"/>
        <w:rPr>
          <w:color w:val="000000"/>
          <w:shd w:fill="auto" w:val="clear"/>
        </w:rPr>
      </w:pPr>
      <w:r>
        <w:rPr>
          <w:color w:val="000000"/>
          <w:shd w:fill="auto" w:val="clear"/>
        </w:rPr>
        <w:t xml:space="preserve">Настоящая Политика составлена в соответствии с Федеральным законом от 27.07.2006 № 152-ФЗ «О персональных данных» и определяет порядок обработки персональных данных Оператором при использовании сайта «АВТОР · концепт» (https://avtor-concept.ru). Политика опубликована в соответствии с ч. 2 ст. 18.1 152-ФЗ и доступна неограниченному кругу лиц.</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Оператор персональных данных</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Индивидуальный предприниматель Борисова Анна Алексеевна; ИНН 772479493356; ОГРНИП 316774600207835 от 15.04.2016; местонахождение: г. Москва. Полный адрес предоставляется по запросу с обоснованием цели обращения на почту info@avtor-concept.ru. Ответ направляется в течение 5 рабочих дней. Сайт: https://avtor-concept.ru; email: avtor-docinfo@yandex.ru.</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Оператор определяет цели и способы обработки персональных данных пользователей Сайта.</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Термины</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«Персональные данные» — любая информация, относящаяся к прямо или косвенно определённому физическому лицу.</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«Обработка персональных данных» — любое действие с персональными данными: сбор, запись, систематизация, хранение, изменение, использование, передача, удаление.</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«Пользователь» — физическое лицо, использующее Сайт, направляющее Заявку или обращающееся к Оператору иным способом.</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«Согласие» — отдельное юридически значимое действие Пользователя, фиксируемое техническими средствами (см. раздел 7).</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«Файлы cookie» — небольшие файлы, которые Сайт сохраняет в браузере Пользователя для своей работы и (при согласии) анализа посещаемости.</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Категории и цели обработки</w:t>
      </w:r>
    </w:p>
    <w:tbl>
      <w:tblPr>
        <w:tblW w:w="9750" w:type="dxa"/>
        <w:jc w:val="left"/>
        <w:tblInd w:w="0" w:type="dxa"/>
        <w:tblLayout w:type="fixed"/>
        <w:tblCellMar>
          <w:top w:w="60" w:type="dxa"/>
          <w:left w:w="100" w:type="dxa"/>
          <w:bottom w:w="60" w:type="dxa"/>
          <w:right w:w="100" w:type="dxa"/>
        </w:tblCellMar>
      </w:tblPr>
      <w:tblGrid>
        <w:gridCol w:w="2300"/>
        <w:gridCol w:w="2450"/>
        <w:gridCol w:w="2599"/>
        <w:gridCol w:w="2400"/>
      </w:tblGrid>
      <w:tr>
        <w:trPr/>
        <w:tc>
          <w:tcPr>
            <w:tcW w:w="2300"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Категория данных</w:t>
            </w:r>
          </w:p>
        </w:tc>
        <w:tc>
          <w:tcPr>
            <w:tcW w:w="2450"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Источник</w:t>
            </w:r>
          </w:p>
        </w:tc>
        <w:tc>
          <w:tcPr>
            <w:tcW w:w="2599"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Цель обработки</w:t>
            </w:r>
          </w:p>
        </w:tc>
        <w:tc>
          <w:tcPr>
            <w:tcW w:w="2400"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Правовое основание</w:t>
            </w:r>
          </w:p>
        </w:tc>
      </w:tr>
      <w:tr>
        <w:trPr/>
        <w:tc>
          <w:tcPr>
            <w:tcW w:w="23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Имя, номер телефона, текст сообщения в форме «Контакты» и при нажатии «Прислать проект»</w:t>
            </w:r>
          </w:p>
        </w:tc>
        <w:tc>
          <w:tcPr>
            <w:tcW w:w="24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Вводятся пользователем</w:t>
            </w:r>
          </w:p>
        </w:tc>
        <w:tc>
          <w:tcPr>
            <w:tcW w:w="259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Ответ на заявку, связь с пользователем, подготовка предложения по проекту</w:t>
            </w:r>
          </w:p>
        </w:tc>
        <w:tc>
          <w:tcPr>
            <w:tcW w:w="24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согласие субъекта (п. 1 ч. 1 ст. 6 152-ФЗ); меры до заключения договора (п. 5 ч. 1 ст. 6)</w:t>
            </w:r>
          </w:p>
        </w:tc>
      </w:tr>
      <w:tr>
        <w:trPr/>
        <w:tc>
          <w:tcPr>
            <w:tcW w:w="23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Имя профиля, username и текст сообщений в Telegram, Max или e-mail при обращении через указанные на Сайте каналы</w:t>
            </w:r>
          </w:p>
        </w:tc>
        <w:tc>
          <w:tcPr>
            <w:tcW w:w="24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Мессенджер, электронная почта</w:t>
            </w:r>
          </w:p>
        </w:tc>
        <w:tc>
          <w:tcPr>
            <w:tcW w:w="259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Ответ на обращение, согласование замера и проекта</w:t>
            </w:r>
          </w:p>
        </w:tc>
        <w:tc>
          <w:tcPr>
            <w:tcW w:w="24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согласие субъекта; меры до заключения договора</w:t>
            </w:r>
          </w:p>
        </w:tc>
      </w:tr>
      <w:tr>
        <w:trPr/>
        <w:tc>
          <w:tcPr>
            <w:tcW w:w="23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Данные заказчика по договору: фамилия, имя, отчество, телефон, e-mail, адрес объекта; для ИП и юридических лиц — наименование и ИНН</w:t>
            </w:r>
          </w:p>
        </w:tc>
        <w:tc>
          <w:tcPr>
            <w:tcW w:w="24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Вводятся заказчиком</w:t>
            </w:r>
          </w:p>
        </w:tc>
        <w:tc>
          <w:tcPr>
            <w:tcW w:w="259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Заключение и исполнение договора (проект, изготовление, монтаж, ремонт), расчёты, гарантийное обслуживание</w:t>
            </w:r>
          </w:p>
        </w:tc>
        <w:tc>
          <w:tcPr>
            <w:tcW w:w="24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договор (п. 5 ч. 1 ст. 6); законодательство о бухгалтерском и налоговом учёте (п. 2 ч. 1 ст. 6)</w:t>
            </w:r>
          </w:p>
        </w:tc>
      </w:tr>
      <w:tr>
        <w:trPr/>
        <w:tc>
          <w:tcPr>
            <w:tcW w:w="23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Данные об оплате: сумма, дата, реквизиты платёжного документа</w:t>
            </w:r>
          </w:p>
        </w:tc>
        <w:tc>
          <w:tcPr>
            <w:tcW w:w="24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Заказчик, банк</w:t>
            </w:r>
          </w:p>
        </w:tc>
        <w:tc>
          <w:tcPr>
            <w:tcW w:w="259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Расчёты по договору, оформление документов</w:t>
            </w:r>
          </w:p>
        </w:tc>
        <w:tc>
          <w:tcPr>
            <w:tcW w:w="24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договор; законодательство о бухгалтерском учёте</w:t>
            </w:r>
          </w:p>
        </w:tc>
      </w:tr>
      <w:tr>
        <w:trPr/>
        <w:tc>
          <w:tcPr>
            <w:tcW w:w="23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Контакты для рассылки и запись о согласии на рекламные и информационные сообщения</w:t>
            </w:r>
          </w:p>
        </w:tc>
        <w:tc>
          <w:tcPr>
            <w:tcW w:w="24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Отдельное действие пользователя</w:t>
            </w:r>
          </w:p>
        </w:tc>
        <w:tc>
          <w:tcPr>
            <w:tcW w:w="259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Рекламные и информационные сообщения об изделиях, проектах и предложениях (только при согласии)</w:t>
            </w:r>
          </w:p>
        </w:tc>
        <w:tc>
          <w:tcPr>
            <w:tcW w:w="24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согласие субъекта (ст. 9 152-ФЗ; ч. 1 ст. 18 38-ФЗ «О рекламе»)</w:t>
            </w:r>
          </w:p>
        </w:tc>
      </w:tr>
      <w:tr>
        <w:trPr/>
        <w:tc>
          <w:tcPr>
            <w:tcW w:w="23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Технические данные: IP-адрес, User-Agent, дата и время, посещённые страницы, файлы cookie</w:t>
            </w:r>
          </w:p>
        </w:tc>
        <w:tc>
          <w:tcPr>
            <w:tcW w:w="24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Автоматически при посещении Сайта</w:t>
            </w:r>
          </w:p>
        </w:tc>
        <w:tc>
          <w:tcPr>
            <w:tcW w:w="259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Безопасность, устранение сбоев; веб-аналитика — только при согласии на аналитические cookie</w:t>
            </w:r>
          </w:p>
        </w:tc>
        <w:tc>
          <w:tcPr>
            <w:tcW w:w="24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законный интерес оператора (п. 7 ч. 1 ст. 6); для аналитических cookie — согласие</w:t>
            </w:r>
          </w:p>
        </w:tc>
      </w:tr>
      <w:tr>
        <w:trPr/>
        <w:tc>
          <w:tcPr>
            <w:tcW w:w="23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Запись о согласиях (версия документа, контрольная сумма, время)</w:t>
            </w:r>
          </w:p>
        </w:tc>
        <w:tc>
          <w:tcPr>
            <w:tcW w:w="24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Формируется автоматически при отметке согласия</w:t>
            </w:r>
          </w:p>
        </w:tc>
        <w:tc>
          <w:tcPr>
            <w:tcW w:w="259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Подтверждение факта и условий согласия</w:t>
            </w:r>
          </w:p>
        </w:tc>
        <w:tc>
          <w:tcPr>
            <w:tcW w:w="240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обязанность оператора доказать получение согласия (ч. 3 ст. 9)</w:t>
            </w:r>
          </w:p>
        </w:tc>
      </w:tr>
    </w:tbl>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Сайт не предназначен для обработки специальных категорий персональных данных (сведения о состоянии здоровья, расовой, национальной принадлежности, политических, религиозных и иных убеждений и т. п.) и биометрических персональных данных. Оператор не просит предоставлять такие сведения; Пользователю не следует указывать их в заявке.</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Пользователь вправе указывать в заявке только свои данные либо данные третьих лиц при наличии законного основания. Оператор не использует персональные данные для принятия решений, порождающих юридические последствия, исключительно на основании автоматизированной обработки.</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Порядок и способы обработки</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Обработка осуществляется с использованием средств автоматизации (Сайт, база данных, электронная почта, мессенджеры) и без таковых — в объёме, необходимом для достижения указанных целей.</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Оператор принимает правовые, организационные и технические меры защиты персональных данных от неправомерного или случайного доступа, уничтожения, изменения, блокирования, копирования, предоставления, распространения (ст. 18.1 и 19 152-ФЗ), включая: передачу данных по защищённому каналу (HTTPS); ограничение доступа к заявкам кругом лиц, которым он необходим для работы; разграничение прав доступа к базе данных; регулярное резервное копирование; учёт обращений субъектов персональных данных; обучение лиц, допущенных к обработке, и их обязательство соблюдать конфиденциальность.</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Место хранения и трансграничная передача</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Первичная запись, систематизация, накопление, хранение, уточнение (обновление, изменение) и извлечение персональных данных граждан Российской Федерации осуществляются на серверах, расположенных на территории Российской Федерации: TimeWeb (ООО «Таймвэб.Клауд», ИНН 7810945525, КПП 168301001, ОГРН 1227800052215, адрес: 420500, Республика Татарстан, Верхнеуслонский район, г.п. город Иннополис, г. Иннополис, ул. Университетская, д. 7, оф. 605).</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Если Пользователь выбирает для связи мессенджер Telegram, инфраструктура которого частично расположена за пределами Российской Федерации, при передаче сообщений возможна трансграничная передача отдельных технических данных (идентификатор чата, имя профиля, текст сообщений) средствами самого мессенджера. Пользователь может выбрать иной канал связи: форму на Сайте, электронную почту или мессенджер Max. Оператор учитывает это обстоятельство при уведомлении Роскомнадзора об обработке персональных данных.</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Файлы cookie</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Сайт использует необходимые файлы cookie — технические файлы для работы Сайта и запоминания выбора Пользователя (например, решения о cookie). Они не требуют согласия.</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Если на Сайте подключена веб-аналитика (например, «Яндекс.Метрика»), аналитические файлы cookie используются только после согласия Пользователя во всплывающем уведомлении. Отказ от аналитических файлов cookie не ограничивает работу Сайта.</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Пользователь может в любой момент удалить или заблокировать файлы cookie в настройках браузера; это может ограничить работу отдельных функций Сайта.</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Согласие и его фиксация</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Согласие на обработку персональных данных фиксируется как отдельное действие Пользователя: отметка «Даю согласие на обработку персональных данных» (не отмечена заранее) в форме на Сайте и нажатие кнопки отправки заявки. Отдельной необязательной отметкой Пользователь может дать согласие на получение рекламных и информационных сообщений.</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Вместо хранения полной копии принятого текста в каждой записи Оператор фиксирует техническую запись согласия: контактные данные, указанные в заявке, дату и время (МСК и UTC), версию документа и контрольную сумму (checksum) текста, действовавшего на момент согласия. Это позволяет впоследствии точно установить, какая редакция документа была принята.</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Продолжение использования Сайта после публикации новой редакции Политики само по себе не считается согласием с расширенными целями или категориями данных; в таком случае Оператор запрашивает новое отдельное согласие, а до его получения применяются ранее согласованные цели и объём обработки.</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Сроки хранения</w:t>
      </w:r>
    </w:p>
    <w:tbl>
      <w:tblPr>
        <w:tblW w:w="9750" w:type="dxa"/>
        <w:jc w:val="left"/>
        <w:tblInd w:w="0" w:type="dxa"/>
        <w:tblLayout w:type="fixed"/>
        <w:tblCellMar>
          <w:top w:w="60" w:type="dxa"/>
          <w:left w:w="100" w:type="dxa"/>
          <w:bottom w:w="60" w:type="dxa"/>
          <w:right w:w="100" w:type="dxa"/>
        </w:tblCellMar>
      </w:tblPr>
      <w:tblGrid>
        <w:gridCol w:w="2691"/>
        <w:gridCol w:w="2909"/>
        <w:gridCol w:w="4150"/>
      </w:tblGrid>
      <w:tr>
        <w:trPr/>
        <w:tc>
          <w:tcPr>
            <w:tcW w:w="2691"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Данные</w:t>
            </w:r>
          </w:p>
        </w:tc>
        <w:tc>
          <w:tcPr>
            <w:tcW w:w="2909"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Срок хранения</w:t>
            </w:r>
          </w:p>
        </w:tc>
        <w:tc>
          <w:tcPr>
            <w:tcW w:w="4150" w:type="dxa"/>
            <w:tcBorders>
              <w:bottom w:val="single" w:sz="4" w:space="0" w:color="292929"/>
            </w:tcBorders>
            <w:vAlign w:val="center"/>
          </w:tcPr>
          <w:p>
            <w:pPr>
              <w:pStyle w:val="Normal"/>
              <w:widowControl w:val="false"/>
              <w:suppressAutoHyphens w:val="true"/>
              <w:bidi w:val="0"/>
              <w:spacing w:lineRule="auto" w:line="240" w:before="0" w:after="0"/>
              <w:ind w:left="0" w:right="0" w:hanging="0"/>
              <w:jc w:val="left"/>
              <w:rPr>
                <w:rFonts w:ascii="Montserrat" w:hAnsi="Montserrat"/>
                <w:b/>
                <w:b/>
                <w:bCs/>
                <w:color w:val="292929"/>
                <w:spacing w:val="-6"/>
                <w:sz w:val="18"/>
                <w:szCs w:val="18"/>
              </w:rPr>
            </w:pPr>
            <w:r>
              <w:rPr>
                <w:b/>
                <w:bCs/>
                <w:color w:val="292929"/>
                <w:spacing w:val="-6"/>
                <w:sz w:val="18"/>
                <w:szCs w:val="18"/>
              </w:rPr>
              <w:t xml:space="preserve">Основание / что происходит по истечении</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Заявки (имя, телефон, текст обращения), по которым не заключён договор</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3 года с даты последнего контакта с пользователем</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общий срок исковой давности (ст. 196 ГК РФ); далее удаляются либо обезличиваются</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Данные по договору (заказчик, объект, переписка по заказу)</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на срок действия договора и не менее 5 лет после его исполнения</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гарантийные обязательства (гарантия до 5 лет) и бухгалтерский, налоговый учёт; далее удаляются</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Запись о согласии (версия, checksum, время)</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3 года с момента прекращения обработки</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общий срок исковой давности (ст. 196 ГК РФ)</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Согласие на рекламу и запись об отзыве</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3 года с момента отзыва или прекращения рассылки</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общий срок исковой давности (ст. 196 ГК РФ)</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Технические журналы (IP, User-Agent)</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12 месяцев</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далее обезличиваются либо удаляются</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Файлы cookie</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по сроку, указанному в настройках браузера; не более 12 месяцев</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по истечении срока удаляются браузером</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Данные об оплате и платёжные документы</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не менее 5 лет</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требования законодательства о бухгалтерском и налоговом учёте</w:t>
            </w:r>
          </w:p>
        </w:tc>
      </w:tr>
      <w:tr>
        <w:trPr/>
        <w:tc>
          <w:tcPr>
            <w:tcW w:w="2691"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Резервные копии базы данных</w:t>
            </w:r>
          </w:p>
        </w:tc>
        <w:tc>
          <w:tcPr>
            <w:tcW w:w="2909"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до 30 дней после удаления данных из рабочей базы</w:t>
            </w:r>
          </w:p>
        </w:tc>
        <w:tc>
          <w:tcPr>
            <w:tcW w:w="4150" w:type="dxa"/>
            <w:tcBorders>
              <w:bottom w:val="single" w:sz="4" w:space="0" w:color="D9D9D9"/>
            </w:tcBorders>
            <w:vAlign w:val="center"/>
          </w:tcPr>
          <w:p>
            <w:pPr>
              <w:pStyle w:val="Normal"/>
              <w:widowControl w:val="false"/>
              <w:suppressAutoHyphens w:val="true"/>
              <w:bidi w:val="0"/>
              <w:spacing w:lineRule="auto" w:line="240" w:before="0" w:after="0"/>
              <w:ind w:left="0" w:right="0" w:hanging="0"/>
              <w:jc w:val="left"/>
              <w:rPr>
                <w:rFonts w:ascii="Montserrat" w:hAnsi="Montserrat"/>
                <w:color w:val="000000"/>
                <w:spacing w:val="-6"/>
                <w:sz w:val="18"/>
                <w:szCs w:val="18"/>
              </w:rPr>
            </w:pPr>
            <w:r>
              <w:rPr>
                <w:color w:val="000000"/>
                <w:spacing w:val="-6"/>
                <w:sz w:val="18"/>
                <w:szCs w:val="18"/>
              </w:rPr>
              <w:t xml:space="preserve">перезаписываются по графику резервного копирования (см. Регламент обращений и удаления данных)</w:t>
            </w:r>
          </w:p>
        </w:tc>
      </w:tr>
    </w:tbl>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Ничто из перечисленного не хранится бессрочно по усмотрению Оператора: по истечении указанных сроков данные удаляются или обезличиваются, за исключением случаев, когда более длительный срок прямо предусмотрен законодательством Российской Федерации.</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Права субъекта персональных данных</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Пользователь вправе: получить информацию об обработке своих данных (ст. 14 152-ФЗ); требовать уточнения, блокирования или уничтожения данных, если они неполны, устарели, неточны, получены незаконно или не нужны для заявленной цели; отозвать согласие; потребовать прекратить обработку данных в целях продвижения товаров и услуг; обжаловать действия Оператора в Роскомнадзор или в суд.</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Запросы направляются на электронную почту Оператора, указанную в разделе «Контактная информация», в порядке, описанном в Регламенте обращений и удаления данных. Оператор отвечает в течение 10 (десяти) рабочих дней с момента обращения (срок может быть продлён не более чем на 5 рабочих дней с мотивированным уведомлением).</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Согласие на получение рекламных и информационных сообщений можно отозвать ответом «Отписаться» на любое сообщение, ссылкой «Отписаться» в письме или обращением на электронную почту Оператора.</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Передача третьим лицам</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Оператор передаёт персональные данные только в объёме, необходимом для достижения целей обработки: хостинг-провайдеру (TimeWeb, ООО «Таймвэб.Клауд») — для технического хранения; поставщику почтовых услуг (Яндекс, ООО «ЯНДЕКС») — для переписки по электронной почте; выбранному пользователем мессенджеру (Telegram, Max) — для связи; подрядчикам, привлекаемым к исполнению заказа (замер, доставка, монтаж), — имя, телефон, адрес объекта, на основании договора с обязательством соблюдать конфиденциальность (ч. 3 ст. 6 152-ФЗ); органам государственной власти — по законным запросам.</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Оператор не продаёт персональные данные и не передаёт их в целях, не связанных с оказанием услуг и ведением Сайта, без отдельного согласия пользователя.</w:t>
      </w:r>
    </w:p>
    <w:p>
      <w:pPr>
        <w:pStyle w:val="1"/>
        <w:numPr>
          <w:ilvl w:val="0"/>
          <w:numId w:val="2"/>
        </w:numPr>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Изменение Политики</w:t>
      </w:r>
    </w:p>
    <w:p>
      <w:pPr>
        <w:pStyle w:val="Normal"/>
        <w:widowControl/>
        <w:numPr>
          <w:ilvl w:val="1"/>
          <w:numId w:val="2"/>
        </w:numPr>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t xml:space="preserve">Оператор вправе изменять Политику. Действующая редакция всегда доступна по постоянному адресу: https://avtor-concept.ru/legal/site/privacy. Для ранее давших согласие пользователей новая редакция, расширяющая цели или категории данных, применяется только после отдельного подтверждающего действия (см. раздел 7).</w:t>
      </w:r>
    </w:p>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color w:val="000000"/>
          <w:shd w:fill="auto" w:val="clear"/>
        </w:rPr>
      </w:r>
    </w:p>
    <w:tbl>
      <w:tblPr>
        <w:tblW w:w="10378" w:type="dxa"/>
        <w:jc w:val="left"/>
        <w:tblInd w:w="0" w:type="dxa"/>
        <w:tblLayout w:type="fixed"/>
        <w:tblCellMar>
          <w:top w:w="0" w:type="dxa"/>
          <w:left w:w="0" w:type="dxa"/>
          <w:bottom w:w="0" w:type="dxa"/>
          <w:right w:w="0" w:type="dxa"/>
        </w:tblCellMar>
      </w:tblPr>
      <w:tblGrid>
        <w:gridCol w:w="4900"/>
        <w:gridCol w:w="4908"/>
        <w:gridCol w:w="570"/>
      </w:tblGrid>
      <w:tr>
        <w:trPr/>
        <w:tc>
          <w:tcPr>
            <w:tcW w:w="4900" w:type="dxa"/>
            <w:tcBorders>
              <w:bottom w:val="single" w:sz="6" w:space="0" w:color="A80F1D"/>
            </w:tcBorders>
            <w:vAlign w:val="bottom"/>
          </w:tcPr>
          <w:p>
            <w:pPr>
              <w:pStyle w:val="Normal"/>
              <w:widowControl w:val="false"/>
              <w:spacing w:before="0" w:after="0"/>
              <w:rPr>
                <w:b w:val="false"/>
                <w:b w:val="false"/>
                <w:bCs w:val="false"/>
                <w:spacing w:val="10"/>
              </w:rPr>
            </w:pPr>
            <w:r>
              <w:rPr>
                <w:b w:val="false"/>
                <w:bCs w:val="false"/>
                <w:spacing w:val="10"/>
              </w:rPr>
            </w:r>
          </w:p>
        </w:tc>
        <w:tc>
          <w:tcPr>
            <w:tcW w:w="4908" w:type="dxa"/>
            <w:tcBorders>
              <w:bottom w:val="single" w:sz="6" w:space="0" w:color="A80F1D"/>
            </w:tcBorders>
            <w:vAlign w:val="bottom"/>
          </w:tcPr>
          <w:p>
            <w:pPr>
              <w:pStyle w:val="Normal"/>
              <w:widowControl w:val="false"/>
              <w:suppressAutoHyphens w:val="true"/>
              <w:bidi w:val="0"/>
              <w:spacing w:lineRule="auto" w:line="240" w:before="0" w:after="0"/>
              <w:ind w:left="0" w:right="113" w:hanging="0"/>
              <w:jc w:val="right"/>
              <w:rPr>
                <w:rFonts w:ascii="Montserrat" w:hAnsi="Montserrat" w:eastAsia="Montserrat" w:cs="Montserrat"/>
                <w:b w:val="false"/>
                <w:b w:val="false"/>
                <w:bCs w:val="false"/>
                <w:color w:val="292929"/>
                <w:kern w:val="0"/>
                <w:sz w:val="21"/>
                <w:szCs w:val="21"/>
                <w:lang w:val="ru-RU" w:eastAsia="zh-CN" w:bidi="hi-IN"/>
              </w:rPr>
            </w:pPr>
            <w:r>
              <w:rPr>
                <w:rFonts w:eastAsia="Montserrat" w:cs="Montserrat"/>
                <w:b w:val="false"/>
                <w:bCs w:val="false"/>
                <w:color w:val="292929"/>
                <w:kern w:val="0"/>
                <w:sz w:val="21"/>
                <w:szCs w:val="21"/>
                <w:lang w:val="ru-RU" w:eastAsia="zh-CN" w:bidi="hi-IN"/>
              </w:rPr>
            </w:r>
          </w:p>
        </w:tc>
        <w:tc>
          <w:tcPr>
            <w:tcW w:w="570" w:type="dxa"/>
            <w:tcBorders>
              <w:bottom w:val="single" w:sz="6" w:space="0" w:color="A80F1D"/>
            </w:tcBorders>
            <w:vAlign w:val="bottom"/>
          </w:tcPr>
          <w:p>
            <w:pPr>
              <w:pStyle w:val="Normal"/>
              <w:widowControl w:val="false"/>
              <w:bidi w:val="0"/>
              <w:spacing w:lineRule="auto" w:line="240" w:before="0" w:after="0"/>
              <w:ind w:left="0" w:right="454" w:hanging="0"/>
              <w:jc w:val="right"/>
              <w:rPr>
                <w:rFonts w:ascii="Montserrat" w:hAnsi="Montserrat" w:eastAsia="Montserrat" w:cs="Montserrat"/>
                <w:b w:val="false"/>
                <w:b w:val="false"/>
                <w:bCs w:val="false"/>
                <w:color w:val="292929"/>
                <w:kern w:val="0"/>
                <w:sz w:val="21"/>
                <w:szCs w:val="21"/>
                <w:lang w:val="ru-RU" w:eastAsia="zh-CN" w:bidi="hi-IN"/>
              </w:rPr>
            </w:pPr>
            <w:r>
              <w:rPr>
                <w:rFonts w:eastAsia="Montserrat" w:cs="Montserrat"/>
                <w:b w:val="false"/>
                <w:bCs w:val="false"/>
                <w:color w:val="292929"/>
                <w:kern w:val="0"/>
                <w:sz w:val="21"/>
                <w:szCs w:val="21"/>
                <w:lang w:val="ru-RU" w:eastAsia="zh-CN" w:bidi="hi-IN"/>
              </w:rPr>
            </w:r>
          </w:p>
        </w:tc>
      </w:tr>
    </w:tbl>
    <w:p>
      <w:pPr>
        <w:pStyle w:val="1"/>
        <w:spacing w:before="227" w:after="57"/>
        <w:ind w:left="0" w:right="567" w:hanging="0"/>
        <w:rPr>
          <w:rFonts w:ascii="Montserrat" w:hAnsi="Montserrat"/>
          <w:color w:val="000000"/>
          <w:sz w:val="24"/>
          <w:szCs w:val="24"/>
          <w:shd w:fill="auto" w:val="clear"/>
        </w:rPr>
      </w:pPr>
      <w:r>
        <w:rPr>
          <w:rFonts w:ascii="Montserrat" w:hAnsi="Montserrat"/>
          <w:color w:val="000000"/>
          <w:sz w:val="24"/>
          <w:szCs w:val="24"/>
          <w:shd w:fill="auto" w:val="clear"/>
        </w:rPr>
        <w:t xml:space="preserve">Контактная информация</w:t>
      </w:r>
    </w:p>
    <w:tbl>
      <w:tblPr>
        <w:tblW w:w="5000" w:type="pct"/>
        <w:jc w:val="left"/>
        <w:tblInd w:w="0" w:type="dxa"/>
        <w:tblLayout w:type="fixed"/>
        <w:tblCellMar>
          <w:top w:w="120" w:type="dxa"/>
          <w:left w:w="0" w:type="dxa"/>
          <w:bottom w:w="160" w:type="dxa"/>
          <w:right w:w="200" w:type="dxa"/>
        </w:tblCellMar>
      </w:tblPr>
      <w:tblGrid>
        <w:gridCol w:w="3052"/>
        <w:gridCol w:w="1819"/>
        <w:gridCol w:w="1429"/>
        <w:gridCol w:w="3450"/>
      </w:tblGrid>
      <w:tr>
        <w:trPr/>
        <w:tc>
          <w:tcPr>
            <w:tcW w:w="9750" w:type="dxa"/>
            <w:gridSpan w:val="4"/>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ПОЛНОЕ НАИМЕНОВАНИЕ</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Индивидуальный предприниматель Борисова Анна Алексеевна</w:t>
            </w:r>
          </w:p>
        </w:tc>
      </w:tr>
      <w:tr>
        <w:trPr/>
        <w:tc>
          <w:tcPr>
            <w:tcW w:w="9750" w:type="dxa"/>
            <w:gridSpan w:val="4"/>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МЕСТОНАХОЖДЕНИЕ</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 xml:space="preserve">г. Москва. Полный адрес предоставляется по запросу с обоснованием цели обращения на почту info@avtor-concept.ru. Ответ направляется в течение 5 рабочих дней.</w:t>
            </w:r>
          </w:p>
        </w:tc>
      </w:tr>
      <w:tr>
        <w:trPr/>
        <w:tc>
          <w:tcPr>
            <w:tcW w:w="4871" w:type="dxa"/>
            <w:gridSpan w:val="2"/>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ИНН</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772479493356</w:t>
            </w:r>
          </w:p>
        </w:tc>
        <w:tc>
          <w:tcPr>
            <w:tcW w:w="4879" w:type="dxa"/>
            <w:gridSpan w:val="2"/>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ОГРН</w:t>
            </w:r>
          </w:p>
          <w:p>
            <w:pPr>
              <w:pStyle w:val="Normal"/>
              <w:widowControl w:val="false"/>
              <w:suppressAutoHyphens w:val="true"/>
              <w:spacing w:before="0" w:after="160"/>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20"/>
                <w:szCs w:val="20"/>
                <w:shd w:fill="auto" w:val="clear"/>
                <w:lang w:val="ru-RU" w:eastAsia="zh-CN" w:bidi="hi-IN"/>
              </w:rPr>
              <w:t>316774600207835   15.04.2016</w:t>
            </w:r>
          </w:p>
        </w:tc>
      </w:tr>
      <w:tr>
        <w:trPr/>
        <w:tc>
          <w:tcPr>
            <w:tcW w:w="3052" w:type="dxa"/>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САЙТ</w:t>
            </w:r>
          </w:p>
          <w:p>
            <w:pPr>
              <w:pStyle w:val="Normal"/>
              <w:widowControl w:val="false"/>
              <w:suppressAutoHyphens w:val="true"/>
              <w:spacing w:before="0" w:after="160"/>
              <w:rPr>
                <w:rFonts w:eastAsia="Montserrat" w:cs="Montserrat"/>
                <w:b w:val="false"/>
                <w:b w:val="false"/>
                <w:bCs w:val="false"/>
                <w:color w:val="000000"/>
                <w:spacing w:val="-6"/>
                <w:kern w:val="0"/>
                <w:shd w:fill="auto" w:val="clear"/>
                <w:lang w:val="ru-RU" w:eastAsia="zh-CN" w:bidi="hi-IN"/>
              </w:rPr>
            </w:pPr>
            <w:r>
              <w:rPr>
                <w:rFonts w:eastAsia="Montserrat" w:cs="Montserrat"/>
                <w:b w:val="false"/>
                <w:bCs w:val="false"/>
                <w:color w:val="000000"/>
                <w:spacing w:val="-6"/>
                <w:kern w:val="0"/>
                <w:sz w:val="18"/>
                <w:szCs w:val="18"/>
                <w:shd w:fill="auto" w:val="clear"/>
                <w:lang w:val="ru-RU" w:eastAsia="zh-CN" w:bidi="hi-IN"/>
              </w:rPr>
              <w:t>https://avtor-concept.ru</w:t>
            </w:r>
          </w:p>
        </w:tc>
        <w:tc>
          <w:tcPr>
            <w:tcW w:w="3248" w:type="dxa"/>
            <w:gridSpan w:val="2"/>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E-MAIL</w:t>
            </w:r>
          </w:p>
          <w:p>
            <w:pPr>
              <w:pStyle w:val="Normal"/>
              <w:widowControl w:val="false"/>
              <w:suppressAutoHyphens w:val="true"/>
              <w:spacing w:before="0" w:after="160"/>
              <w:rPr>
                <w:rFonts w:eastAsia="Montserrat" w:cs="Montserrat"/>
                <w:b w:val="false"/>
                <w:b w:val="false"/>
                <w:bCs w:val="false"/>
                <w:color w:val="000000"/>
                <w:spacing w:val="-6"/>
                <w:kern w:val="0"/>
                <w:shd w:fill="auto" w:val="clear"/>
                <w:lang w:val="ru-RU" w:eastAsia="zh-CN" w:bidi="hi-IN"/>
              </w:rPr>
            </w:pPr>
            <w:r>
              <w:rPr>
                <w:rFonts w:eastAsia="Montserrat" w:cs="Montserrat"/>
                <w:b w:val="false"/>
                <w:bCs w:val="false"/>
                <w:color w:val="000000"/>
                <w:spacing w:val="-6"/>
                <w:kern w:val="0"/>
                <w:sz w:val="18"/>
                <w:szCs w:val="18"/>
                <w:shd w:fill="auto" w:val="clear"/>
                <w:lang w:val="ru-RU" w:eastAsia="zh-CN" w:bidi="hi-IN"/>
              </w:rPr>
              <w:t>avtor-docinfo@yandex.ru</w:t>
            </w:r>
          </w:p>
        </w:tc>
        <w:tc>
          <w:tcPr>
            <w:tcW w:w="3450" w:type="dxa"/>
            <w:tcBorders/>
          </w:tcPr>
          <w:p>
            <w:pPr>
              <w:pStyle w:val="Normal"/>
              <w:widowControl w:val="false"/>
              <w:pBdr>
                <w:bottom w:val="single" w:sz="2" w:space="4" w:color="D9D9D9"/>
              </w:pBdr>
              <w:spacing w:before="0" w:after="40"/>
              <w:rPr>
                <w:rFonts w:eastAsia="Montserrat" w:cs="Montserrat"/>
                <w:color w:val="8A8A8A"/>
                <w:spacing w:val="20"/>
                <w:sz w:val="16"/>
                <w:szCs w:val="16"/>
              </w:rPr>
            </w:pPr>
            <w:r>
              <w:rPr>
                <w:rFonts w:eastAsia="Montserrat" w:cs="Montserrat"/>
                <w:b w:val="false"/>
                <w:bCs w:val="false"/>
                <w:color w:val="8A8A8A"/>
                <w:spacing w:val="20"/>
                <w:sz w:val="16"/>
                <w:szCs w:val="16"/>
              </w:rPr>
              <w:t>СРОК ОТВЕТА НА ОБРАЩЕНИЯ</w:t>
            </w:r>
          </w:p>
          <w:p>
            <w:pPr>
              <w:pStyle w:val="Normal"/>
              <w:widowControl w:val="false"/>
              <w:suppressAutoHyphens w:val="true"/>
              <w:bidi w:val="0"/>
              <w:spacing w:lineRule="auto" w:line="240" w:before="0" w:after="160"/>
              <w:ind w:left="0" w:right="0" w:hanging="0"/>
              <w:jc w:val="left"/>
              <w:rPr>
                <w:rFonts w:ascii="Montserrat" w:hAnsi="Montserrat" w:eastAsia="Montserrat" w:cs="Montserrat"/>
                <w:b w:val="false"/>
                <w:b w:val="false"/>
                <w:bCs w:val="false"/>
                <w:color w:val="292929"/>
                <w:spacing w:val="-6"/>
                <w:kern w:val="0"/>
                <w:sz w:val="20"/>
                <w:szCs w:val="20"/>
                <w:lang w:val="ru-RU" w:eastAsia="zh-CN" w:bidi="hi-IN"/>
              </w:rPr>
            </w:pPr>
            <w:r>
              <w:rPr>
                <w:rFonts w:eastAsia="Montserrat" w:cs="Montserrat"/>
                <w:b w:val="false"/>
                <w:bCs w:val="false"/>
                <w:color w:val="000000"/>
                <w:spacing w:val="-6"/>
                <w:kern w:val="0"/>
                <w:sz w:val="18"/>
                <w:szCs w:val="18"/>
                <w:shd w:fill="auto" w:val="clear"/>
                <w:lang w:val="ru-RU" w:eastAsia="zh-CN" w:bidi="hi-IN"/>
              </w:rPr>
              <w:t>до 10 рабочих дней</w:t>
            </w:r>
            <w:r>
              <w:rPr>
                <w:rFonts w:eastAsia="Montserrat" w:cs="Montserrat"/>
                <w:b w:val="false"/>
                <w:bCs w:val="false"/>
                <w:color w:val="000000"/>
                <w:spacing w:val="-6"/>
                <w:kern w:val="0"/>
                <w:sz w:val="14"/>
                <w:szCs w:val="14"/>
                <w:shd w:fill="auto" w:val="clear"/>
                <w:lang w:val="ru-RU" w:eastAsia="zh-CN" w:bidi="hi-IN"/>
              </w:rPr>
              <w:t/>
            </w:r>
          </w:p>
        </w:tc>
      </w:tr>
    </w:tbl>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r>
    </w:p>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r>
    </w:p>
    <w:p>
      <w:pPr>
        <w:pStyle w:val="Normal"/>
        <w:widowControl/>
        <w:tabs>
          <w:tab w:val="clear" w:pos="643"/>
          <w:tab w:val="left" w:pos="460" w:leader="none"/>
        </w:tabs>
        <w:suppressAutoHyphens w:val="true"/>
        <w:bidi w:val="0"/>
        <w:spacing w:lineRule="exact" w:line="227" w:before="0" w:after="85"/>
        <w:ind w:left="460" w:right="57" w:hanging="460"/>
        <w:jc w:val="both"/>
        <w:rPr>
          <w:color w:val="000000"/>
          <w:shd w:fill="auto" w:val="clear"/>
        </w:rPr>
      </w:pPr>
      <w:r>
        <w:rPr/>
      </w:r>
    </w:p>
    <w:sectPr>
      <w:headerReference w:type="default" r:id="rId2"/>
      <w:headerReference w:type="first" r:id="rId3"/>
      <w:footerReference w:type="default" r:id="rId4"/>
      <w:footerReference w:type="first" r:id="rId5"/>
      <w:type w:val="nextPage"/>
      <w:pgSz w:w="11906" w:h="16838"/>
      <w:pgMar w:left="1162" w:right="994" w:gutter="0" w:header="736" w:top="1162" w:footer="454" w:bottom="1162"/>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Montserrat">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suppressAutoHyphens w:val="true"/>
      <w:bidi w:val="0"/>
      <w:spacing w:lineRule="auto" w:line="240" w:before="0" w:after="0"/>
      <w:ind w:left="0" w:right="0" w:hanging="0"/>
      <w:jc w:val="right"/>
      <w:rPr>
        <w:rFonts w:eastAsia="Montserrat" w:cs="Montserrat"/>
        <w:color w:val="8A8A8A"/>
        <w:spacing w:val="-6"/>
        <w:sz w:val="19"/>
        <w:szCs w:val="19"/>
      </w:rPr>
    </w:pPr>
    <w:r>
      <w:rPr>
        <w:rFonts w:eastAsia="Montserrat" w:cs="Montserrat"/>
        <w:color w:val="8A8A8A"/>
        <w:spacing w:val="-6"/>
        <w:sz w:val="19"/>
        <w:szCs w:val="19"/>
      </w:rPr>
      <w:t xml:space="preserve">страница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PAGE </w:instrText>
    </w:r>
    <w:r>
      <w:rPr>
        <w:sz w:val="19"/>
        <w:spacing w:val="-6"/>
        <w:szCs w:val="19"/>
        <w:rFonts w:eastAsia="Montserrat" w:cs="Montserrat"/>
        <w:color w:val="8A8A8A"/>
      </w:rPr>
      <w:fldChar w:fldCharType="separate"/>
    </w:r>
    <w:r>
      <w:rPr>
        <w:sz w:val="19"/>
        <w:spacing w:val="-6"/>
        <w:szCs w:val="19"/>
        <w:rFonts w:eastAsia="Montserrat" w:cs="Montserrat"/>
        <w:color w:val="8A8A8A"/>
      </w:rPr>
      <w:t>0</w:t>
    </w:r>
    <w:r>
      <w:rPr>
        <w:sz w:val="19"/>
        <w:spacing w:val="-6"/>
        <w:szCs w:val="19"/>
        <w:rFonts w:eastAsia="Montserrat" w:cs="Montserrat"/>
        <w:color w:val="8A8A8A"/>
      </w:rPr>
      <w:fldChar w:fldCharType="end"/>
    </w:r>
    <w:r>
      <w:rPr>
        <w:rFonts w:eastAsia="Montserrat" w:cs="Montserrat"/>
        <w:color w:val="8A8A8A"/>
        <w:spacing w:val="-6"/>
        <w:sz w:val="19"/>
        <w:szCs w:val="19"/>
      </w:rPr>
      <w:t xml:space="preserve"> из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NUMPAGES </w:instrText>
    </w:r>
    <w:r>
      <w:rPr>
        <w:sz w:val="19"/>
        <w:spacing w:val="-6"/>
        <w:szCs w:val="19"/>
        <w:rFonts w:eastAsia="Montserrat" w:cs="Montserrat"/>
        <w:color w:val="8A8A8A"/>
      </w:rPr>
      <w:fldChar w:fldCharType="separate"/>
    </w:r>
    <w:r>
      <w:rPr>
        <w:sz w:val="19"/>
        <w:spacing w:val="-6"/>
        <w:szCs w:val="19"/>
        <w:rFonts w:eastAsia="Montserrat" w:cs="Montserrat"/>
        <w:color w:val="8A8A8A"/>
      </w:rPr>
      <w:t>4</w:t>
    </w:r>
    <w:r>
      <w:rPr>
        <w:sz w:val="19"/>
        <w:spacing w:val="-6"/>
        <w:szCs w:val="19"/>
        <w:rFonts w:eastAsia="Montserrat" w:cs="Montserrat"/>
        <w:color w:val="8A8A8A"/>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suppressAutoHyphens w:val="true"/>
      <w:bidi w:val="0"/>
      <w:spacing w:lineRule="auto" w:line="240" w:before="0" w:after="0"/>
      <w:ind w:left="0" w:right="0" w:hanging="0"/>
      <w:jc w:val="right"/>
      <w:rPr>
        <w:rFonts w:eastAsia="Montserrat" w:cs="Montserrat"/>
        <w:color w:val="8A8A8A"/>
        <w:spacing w:val="-6"/>
        <w:sz w:val="19"/>
        <w:szCs w:val="19"/>
      </w:rPr>
    </w:pPr>
    <w:r>
      <w:rPr>
        <w:rFonts w:eastAsia="Montserrat" w:cs="Montserrat"/>
        <w:color w:val="8A8A8A"/>
        <w:spacing w:val="-6"/>
        <w:sz w:val="19"/>
        <w:szCs w:val="19"/>
      </w:rPr>
      <w:t xml:space="preserve">страница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PAGE </w:instrText>
    </w:r>
    <w:r>
      <w:rPr>
        <w:sz w:val="19"/>
        <w:spacing w:val="-6"/>
        <w:szCs w:val="19"/>
        <w:rFonts w:eastAsia="Montserrat" w:cs="Montserrat"/>
        <w:color w:val="8A8A8A"/>
      </w:rPr>
      <w:fldChar w:fldCharType="separate"/>
    </w:r>
    <w:r>
      <w:rPr>
        <w:sz w:val="19"/>
        <w:spacing w:val="-6"/>
        <w:szCs w:val="19"/>
        <w:rFonts w:eastAsia="Montserrat" w:cs="Montserrat"/>
        <w:color w:val="8A8A8A"/>
      </w:rPr>
      <w:t>0</w:t>
    </w:r>
    <w:r>
      <w:rPr>
        <w:sz w:val="19"/>
        <w:spacing w:val="-6"/>
        <w:szCs w:val="19"/>
        <w:rFonts w:eastAsia="Montserrat" w:cs="Montserrat"/>
        <w:color w:val="8A8A8A"/>
      </w:rPr>
      <w:fldChar w:fldCharType="end"/>
    </w:r>
    <w:r>
      <w:rPr>
        <w:rFonts w:eastAsia="Montserrat" w:cs="Montserrat"/>
        <w:color w:val="8A8A8A"/>
        <w:spacing w:val="-6"/>
        <w:sz w:val="19"/>
        <w:szCs w:val="19"/>
      </w:rPr>
      <w:t xml:space="preserve"> из </w:t>
    </w:r>
    <w:r>
      <w:rPr>
        <w:rFonts w:eastAsia="Montserrat" w:cs="Montserrat"/>
        <w:color w:val="8A8A8A"/>
        <w:spacing w:val="-6"/>
        <w:sz w:val="19"/>
        <w:szCs w:val="19"/>
      </w:rPr>
      <w:fldChar w:fldCharType="begin"/>
    </w:r>
    <w:r>
      <w:rPr>
        <w:sz w:val="19"/>
        <w:spacing w:val="-6"/>
        <w:szCs w:val="19"/>
        <w:rFonts w:eastAsia="Montserrat" w:cs="Montserrat"/>
        <w:color w:val="8A8A8A"/>
      </w:rPr>
      <w:instrText xml:space="preserve"> NUMPAGES </w:instrText>
    </w:r>
    <w:r>
      <w:rPr>
        <w:sz w:val="19"/>
        <w:spacing w:val="-6"/>
        <w:szCs w:val="19"/>
        <w:rFonts w:eastAsia="Montserrat" w:cs="Montserrat"/>
        <w:color w:val="8A8A8A"/>
      </w:rPr>
      <w:fldChar w:fldCharType="separate"/>
    </w:r>
    <w:r>
      <w:rPr>
        <w:sz w:val="19"/>
        <w:spacing w:val="-6"/>
        <w:szCs w:val="19"/>
        <w:rFonts w:eastAsia="Montserrat" w:cs="Montserrat"/>
        <w:color w:val="8A8A8A"/>
      </w:rPr>
      <w:t>4</w:t>
    </w:r>
    <w:r>
      <w:rPr>
        <w:sz w:val="19"/>
        <w:spacing w:val="-6"/>
        <w:szCs w:val="19"/>
        <w:rFonts w:eastAsia="Montserrat" w:cs="Montserrat"/>
        <w:color w:val="8A8A8A"/>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350" w:type="dxa"/>
      <w:jc w:val="left"/>
      <w:tblInd w:w="29" w:type="dxa"/>
      <w:tblLayout w:type="fixed"/>
      <w:tblCellMar>
        <w:top w:w="0" w:type="dxa"/>
        <w:left w:w="0" w:type="dxa"/>
        <w:bottom w:w="0" w:type="dxa"/>
        <w:right w:w="0" w:type="dxa"/>
      </w:tblCellMar>
    </w:tblPr>
    <w:tblGrid>
      <w:gridCol w:w="4864"/>
      <w:gridCol w:w="4761"/>
      <w:gridCol w:w="725"/>
    </w:tblGrid>
    <w:tr>
      <w:trPr/>
      <w:tc>
        <w:tcPr>
          <w:tcW w:w="4864" w:type="dxa"/>
          <w:tcBorders>
            <w:bottom w:val="single" w:sz="6" w:space="0" w:color="A80F1D"/>
          </w:tcBorders>
          <w:vAlign w:val="bottom"/>
        </w:tcPr>
        <w:p>
          <w:pPr>
            <w:pStyle w:val="Normal"/>
            <w:widowControl w:val="false"/>
            <w:spacing w:before="0" w:after="0"/>
            <w:rPr>
              <w:rFonts w:eastAsia="Montserrat" w:cs="Montserrat"/>
              <w:b/>
              <w:b/>
              <w:bCs/>
              <w:color w:val="292929"/>
              <w:spacing w:val="-6"/>
              <w:sz w:val="20"/>
              <w:szCs w:val="20"/>
            </w:rPr>
          </w:pPr>
          <w:r>
            <w:rPr>
              <w:rFonts w:eastAsia="Montserrat" w:cs="Montserrat"/>
              <w:b/>
              <w:bCs/>
              <w:color w:val="292929"/>
              <w:spacing w:val="-6"/>
              <w:sz w:val="20"/>
              <w:szCs w:val="20"/>
            </w:rPr>
            <w:t xml:space="preserve">ПОЛИТИКА   КОНФИДЕНЦИАЛЬНОСТИ</w:t>
          </w:r>
        </w:p>
      </w:tc>
      <w:tc>
        <w:tcPr>
          <w:tcW w:w="4761" w:type="dxa"/>
          <w:tcBorders>
            <w:bottom w:val="single" w:sz="6" w:space="0" w:color="A80F1D"/>
          </w:tcBorders>
          <w:vAlign w:val="bottom"/>
        </w:tcPr>
        <w:p>
          <w:pPr>
            <w:pStyle w:val="Normal"/>
            <w:widowControl w:val="false"/>
            <w:suppressAutoHyphens w:val="true"/>
            <w:bidi w:val="0"/>
            <w:spacing w:lineRule="auto" w:line="240" w:before="0" w:after="0"/>
            <w:ind w:left="0" w:right="113" w:hanging="0"/>
            <w:jc w:val="right"/>
            <w:rPr/>
          </w:pPr>
          <w:r>
            <w:rPr>
              <w:rFonts w:eastAsia="Montserrat" w:cs="Montserrat"/>
              <w:b w:val="false"/>
              <w:bCs w:val="false"/>
              <w:color w:val="8A8A8A"/>
              <w:spacing w:val="-6"/>
              <w:sz w:val="19"/>
              <w:szCs w:val="19"/>
            </w:rPr>
            <w:t xml:space="preserve">ВЕРСИЯ </w:t>
          </w:r>
          <w:r>
            <w:rPr>
              <w:rFonts w:eastAsia="Montserrat" w:cs="Montserrat"/>
              <w:color w:val="292929"/>
              <w:spacing w:val="-6"/>
              <w:sz w:val="19"/>
              <w:szCs w:val="19"/>
            </w:rPr>
            <w:t xml:space="preserve">1.0  </w:t>
          </w:r>
          <w:r>
            <w:rPr>
              <w:rFonts w:eastAsia="Montserrat" w:cs="Montserrat"/>
              <w:b w:val="false"/>
              <w:bCs w:val="false"/>
              <w:color w:val="8A8A8A"/>
              <w:spacing w:val="-6"/>
              <w:sz w:val="19"/>
              <w:szCs w:val="19"/>
            </w:rPr>
            <w:t xml:space="preserve">ДАТА вступления в силу </w:t>
          </w:r>
          <w:r>
            <w:rPr>
              <w:rFonts w:eastAsia="Montserrat" w:cs="Montserrat"/>
              <w:color w:val="292929"/>
              <w:spacing w:val="-6"/>
              <w:sz w:val="19"/>
              <w:szCs w:val="19"/>
            </w:rPr>
            <w:t>01.1</w:t>
          </w:r>
          <w:r>
            <w:rPr>
              <w:rFonts w:eastAsia="Montserrat" w:cs="Montserrat"/>
              <w:color w:val="292929"/>
              <w:spacing w:val="-6"/>
              <w:sz w:val="19"/>
              <w:szCs w:val="19"/>
            </w:rPr>
            <w:t>0</w:t>
          </w:r>
          <w:r>
            <w:rPr>
              <w:rFonts w:eastAsia="Montserrat" w:cs="Montserrat"/>
              <w:color w:val="292929"/>
              <w:spacing w:val="-6"/>
              <w:sz w:val="19"/>
              <w:szCs w:val="19"/>
            </w:rPr>
            <w:t>.2026</w:t>
          </w:r>
        </w:p>
      </w:tc>
      <w:tc>
        <w:tcPr>
          <w:tcW w:w="725" w:type="dxa"/>
          <w:tcBorders>
            <w:bottom w:val="single" w:sz="6" w:space="0" w:color="A80F1D"/>
          </w:tcBorders>
          <w:vAlign w:val="bottom"/>
        </w:tcPr>
        <w:p>
          <w:pPr>
            <w:pStyle w:val="Normal"/>
            <w:widowControl w:val="false"/>
            <w:bidi w:val="0"/>
            <w:spacing w:lineRule="auto" w:line="240" w:before="0" w:after="0"/>
            <w:ind w:left="0" w:right="454" w:hanging="0"/>
            <w:jc w:val="right"/>
            <w:rPr/>
          </w:pPr>
          <w:r>
            <w:rPr/>
          </w:r>
        </w:p>
      </w:tc>
    </w:tr>
  </w:tbl>
  <w:p>
    <w:pPr>
      <w:pStyle w:val="Normal"/>
      <w:widowControl/>
      <w:suppressAutoHyphens w:val="true"/>
      <w:bidi w:val="0"/>
      <w:spacing w:lineRule="auto" w:line="240" w:before="0" w:after="200"/>
      <w:ind w:left="0" w:right="510" w:hanging="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350" w:type="dxa"/>
      <w:jc w:val="left"/>
      <w:tblInd w:w="29" w:type="dxa"/>
      <w:tblLayout w:type="fixed"/>
      <w:tblCellMar>
        <w:top w:w="0" w:type="dxa"/>
        <w:left w:w="0" w:type="dxa"/>
        <w:bottom w:w="0" w:type="dxa"/>
        <w:right w:w="0" w:type="dxa"/>
      </w:tblCellMar>
    </w:tblPr>
    <w:tblGrid>
      <w:gridCol w:w="5160"/>
      <w:gridCol w:w="4583"/>
      <w:gridCol w:w="607"/>
    </w:tblGrid>
    <w:tr>
      <w:trPr/>
      <w:tc>
        <w:tcPr>
          <w:tcW w:w="5160" w:type="dxa"/>
          <w:tcBorders>
            <w:bottom w:val="single" w:sz="6" w:space="0" w:color="A80F1D"/>
          </w:tcBorders>
          <w:vAlign w:val="bottom"/>
        </w:tcPr>
        <w:p>
          <w:pPr>
            <w:pStyle w:val="Normal"/>
            <w:widowControl w:val="false"/>
            <w:spacing w:before="0" w:after="0"/>
            <w:rPr>
              <w:rFonts w:eastAsia="Montserrat" w:cs="Montserrat"/>
              <w:b/>
              <w:b/>
              <w:bCs/>
              <w:color w:val="292929"/>
              <w:spacing w:val="-6"/>
            </w:rPr>
          </w:pPr>
          <w:r>
            <w:rPr>
              <w:rFonts w:eastAsia="Montserrat" w:cs="Montserrat"/>
              <w:b/>
              <w:bCs/>
              <w:color w:val="292929"/>
              <w:spacing w:val="-6"/>
              <w:sz w:val="33"/>
              <w:szCs w:val="33"/>
            </w:rPr>
            <w:t xml:space="preserve">ПОЛИТИКА   КОНФИДЕНЦИАЛЬНОСТИ</w:t>
          </w:r>
        </w:p>
      </w:tc>
      <w:tc>
        <w:tcPr>
          <w:tcW w:w="4583" w:type="dxa"/>
          <w:tcBorders>
            <w:bottom w:val="single" w:sz="6" w:space="0" w:color="A80F1D"/>
          </w:tcBorders>
          <w:vAlign w:val="bottom"/>
        </w:tcPr>
        <w:p>
          <w:pPr>
            <w:pStyle w:val="Normal"/>
            <w:widowControl w:val="false"/>
            <w:suppressAutoHyphens w:val="true"/>
            <w:bidi w:val="0"/>
            <w:spacing w:lineRule="auto" w:line="240" w:before="0" w:after="0"/>
            <w:ind w:left="0" w:right="113" w:hanging="0"/>
            <w:jc w:val="right"/>
            <w:rPr/>
          </w:pPr>
          <w:r>
            <w:rPr>
              <w:rFonts w:eastAsia="Montserrat" w:cs="Montserrat"/>
              <w:b w:val="false"/>
              <w:bCs w:val="false"/>
              <w:color w:val="8A8A8A"/>
              <w:spacing w:val="-6"/>
              <w:sz w:val="19"/>
              <w:szCs w:val="19"/>
            </w:rPr>
            <w:t xml:space="preserve">ВЕРСИЯ </w:t>
          </w:r>
          <w:r>
            <w:rPr>
              <w:rFonts w:eastAsia="Montserrat" w:cs="Montserrat"/>
              <w:color w:val="292929"/>
              <w:spacing w:val="-6"/>
              <w:sz w:val="19"/>
              <w:szCs w:val="19"/>
            </w:rPr>
            <w:t xml:space="preserve">1.0  </w:t>
          </w:r>
          <w:r>
            <w:rPr>
              <w:rFonts w:eastAsia="Montserrat" w:cs="Montserrat"/>
              <w:b w:val="false"/>
              <w:bCs w:val="false"/>
              <w:color w:val="8A8A8A"/>
              <w:spacing w:val="-6"/>
              <w:sz w:val="19"/>
              <w:szCs w:val="19"/>
            </w:rPr>
            <w:t xml:space="preserve">ДАТА вступления в силу </w:t>
          </w:r>
          <w:r>
            <w:rPr>
              <w:rFonts w:eastAsia="Montserrat" w:cs="Montserrat"/>
              <w:color w:val="292929"/>
              <w:spacing w:val="-6"/>
              <w:sz w:val="19"/>
              <w:szCs w:val="19"/>
            </w:rPr>
            <w:t>01.1</w:t>
          </w:r>
          <w:r>
            <w:rPr>
              <w:rFonts w:eastAsia="Montserrat" w:cs="Montserrat"/>
              <w:color w:val="292929"/>
              <w:spacing w:val="-6"/>
              <w:sz w:val="19"/>
              <w:szCs w:val="19"/>
            </w:rPr>
            <w:t>0</w:t>
          </w:r>
          <w:r>
            <w:rPr>
              <w:rFonts w:eastAsia="Montserrat" w:cs="Montserrat"/>
              <w:color w:val="292929"/>
              <w:spacing w:val="-6"/>
              <w:sz w:val="19"/>
              <w:szCs w:val="19"/>
            </w:rPr>
            <w:t>.2026</w:t>
          </w:r>
        </w:p>
      </w:tc>
      <w:tc>
        <w:tcPr>
          <w:tcW w:w="607" w:type="dxa"/>
          <w:tcBorders>
            <w:bottom w:val="single" w:sz="6" w:space="0" w:color="A80F1D"/>
          </w:tcBorders>
          <w:vAlign w:val="bottom"/>
        </w:tcPr>
        <w:p>
          <w:pPr>
            <w:pStyle w:val="Normal"/>
            <w:widowControl w:val="false"/>
            <w:bidi w:val="0"/>
            <w:spacing w:lineRule="auto" w:line="240" w:before="0" w:after="0"/>
            <w:ind w:left="0" w:right="454" w:hanging="0"/>
            <w:jc w:val="right"/>
            <w:rPr/>
          </w:pPr>
          <w:r>
            <w:rPr/>
          </w:r>
        </w:p>
      </w:tc>
    </w:tr>
  </w:tbl>
  <w:p>
    <w:pPr>
      <w:pStyle w:val="Normal"/>
      <w:widowControl/>
      <w:suppressAutoHyphens w:val="true"/>
      <w:bidi w:val="0"/>
      <w:spacing w:lineRule="auto" w:line="240" w:before="0" w:after="200"/>
      <w:ind w:left="0" w:right="510" w:hanging="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 %1 "/>
      <w:lvlJc w:val="left"/>
      <w:pPr>
        <w:tabs>
          <w:tab w:val="num" w:pos="227"/>
        </w:tabs>
        <w:ind w:left="227" w:hanging="227"/>
      </w:pPr>
      <w:rPr/>
    </w:lvl>
    <w:lvl w:ilvl="1">
      <w:start w:val="1"/>
      <w:numFmt w:val="decimal"/>
      <w:lvlText w:val=" %1.%2 "/>
      <w:lvlJc w:val="left"/>
      <w:pPr>
        <w:tabs>
          <w:tab w:val="num" w:pos="454"/>
        </w:tabs>
        <w:ind w:left="454" w:hanging="227"/>
      </w:pPr>
      <w:rPr/>
    </w:lvl>
    <w:lvl w:ilvl="2">
      <w:start w:val="1"/>
      <w:numFmt w:val="decimal"/>
      <w:lvlText w:val=" %1.%2.%3 "/>
      <w:lvlJc w:val="left"/>
      <w:pPr>
        <w:tabs>
          <w:tab w:val="num" w:pos="680"/>
        </w:tabs>
        <w:ind w:left="680" w:hanging="227"/>
      </w:pPr>
      <w:rPr/>
    </w:lvl>
    <w:lvl w:ilvl="3">
      <w:start w:val="1"/>
      <w:numFmt w:val="decimal"/>
      <w:lvlText w:val=" %1.%2.%3.%4 "/>
      <w:lvlJc w:val="left"/>
      <w:pPr>
        <w:tabs>
          <w:tab w:val="num" w:pos="907"/>
        </w:tabs>
        <w:ind w:left="907" w:hanging="227"/>
      </w:pPr>
      <w:rPr/>
    </w:lvl>
    <w:lvl w:ilvl="4">
      <w:start w:val="1"/>
      <w:numFmt w:val="decimal"/>
      <w:lvlText w:val=" %1.%2.%3.%4.%5 "/>
      <w:lvlJc w:val="left"/>
      <w:pPr>
        <w:tabs>
          <w:tab w:val="num" w:pos="1134"/>
        </w:tabs>
        <w:ind w:left="1134" w:hanging="227"/>
      </w:pPr>
      <w:rPr/>
    </w:lvl>
    <w:lvl w:ilvl="5">
      <w:start w:val="1"/>
      <w:numFmt w:val="decimal"/>
      <w:lvlText w:val=" %1.%2.%3.%4.%5.%6 "/>
      <w:lvlJc w:val="left"/>
      <w:pPr>
        <w:tabs>
          <w:tab w:val="num" w:pos="1361"/>
        </w:tabs>
        <w:ind w:left="1361" w:hanging="227"/>
      </w:pPr>
      <w:rPr/>
    </w:lvl>
    <w:lvl w:ilvl="6">
      <w:start w:val="1"/>
      <w:numFmt w:val="decimal"/>
      <w:lvlText w:val=" %1.%2.%3.%4.%5.%6.%7 "/>
      <w:lvlJc w:val="left"/>
      <w:pPr>
        <w:tabs>
          <w:tab w:val="num" w:pos="1587"/>
        </w:tabs>
        <w:ind w:left="1587" w:hanging="227"/>
      </w:pPr>
      <w:rPr/>
    </w:lvl>
    <w:lvl w:ilvl="7">
      <w:start w:val="1"/>
      <w:numFmt w:val="decimal"/>
      <w:lvlText w:val=" %1.%2.%3.%4.%5.%6.%7.%8 "/>
      <w:lvlJc w:val="left"/>
      <w:pPr>
        <w:tabs>
          <w:tab w:val="num" w:pos="1814"/>
        </w:tabs>
        <w:ind w:left="1814" w:hanging="227"/>
      </w:pPr>
      <w:rPr/>
    </w:lvl>
    <w:lvl w:ilvl="8">
      <w:start w:val="1"/>
      <w:numFmt w:val="decimal"/>
      <w:lvlText w:val=" %1.%2.%3.%4.%5.%6.%7.%8.%9 "/>
      <w:lvlJc w:val="left"/>
      <w:pPr>
        <w:tabs>
          <w:tab w:val="num" w:pos="2041"/>
        </w:tabs>
        <w:ind w:left="2041" w:hanging="227"/>
      </w:pPr>
      <w:rPr/>
    </w:lvl>
  </w:abstractNum>
  <w:abstractNum w:abstractNumId="2">
    <w:lvl w:ilvl="0">
      <w:start w:val="1"/>
      <w:numFmt w:val="decimal"/>
      <w:suff w:val="space"/>
      <w:lvlText w:val="%1."/>
      <w:lvlJc w:val="left"/>
      <w:pPr>
        <w:tabs>
          <w:tab w:val="num" w:pos="0"/>
        </w:tabs>
        <w:ind w:left="0" w:hanging="0"/>
      </w:pPr>
      <w:rPr>
        <w:sz w:val="20"/>
        <w:szCs w:val="20"/>
        <w:color w:val="auto"/>
      </w:rPr>
    </w:lvl>
    <w:lvl w:ilvl="1">
      <w:start w:val="1"/>
      <w:numFmt w:val="decimal"/>
      <w:lvlText w:val="%1.%2."/>
      <w:lvlJc w:val="left"/>
      <w:pPr>
        <w:tabs>
          <w:tab w:val="num" w:pos="460"/>
        </w:tabs>
        <w:ind w:left="460" w:hanging="460"/>
      </w:pPr>
      <w:rPr/>
    </w:lvl>
    <w:lvl w:ilvl="2">
      <w:start w:val="1"/>
      <w:numFmt w:val="bullet"/>
      <w:lvlText w:val=""/>
      <w:lvlJc w:val="left"/>
      <w:pPr>
        <w:tabs>
          <w:tab w:val="num" w:pos="1600"/>
        </w:tabs>
        <w:ind w:left="1600" w:hanging="600"/>
      </w:pPr>
      <w:rPr>
        <w:rFonts w:ascii="Symbol" w:hAnsi="Symbol" w:cs="Symbol" w:hint="default"/>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643"/>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120"/>
      <w:ind w:left="0" w:right="567" w:hanging="0"/>
      <w:jc w:val="left"/>
    </w:pPr>
    <w:rPr>
      <w:rFonts w:ascii="Montserrat" w:hAnsi="Montserrat" w:eastAsia="NSimSun" w:cs="Arial"/>
      <w:color w:val="auto"/>
      <w:spacing w:val="-6"/>
      <w:kern w:val="0"/>
      <w:sz w:val="20"/>
      <w:szCs w:val="20"/>
      <w:lang w:val="ru-RU" w:eastAsia="zh-CN" w:bidi="hi-IN"/>
    </w:rPr>
  </w:style>
  <w:style w:type="paragraph" w:styleId="1">
    <w:name w:val="Heading 1"/>
    <w:basedOn w:val="Style15"/>
    <w:qFormat/>
    <w:pPr>
      <w:spacing w:before="227" w:after="113"/>
    </w:pPr>
    <w:rPr>
      <w:b/>
      <w:bCs/>
      <w:color w:val="2E74B5"/>
      <w:sz w:val="24"/>
      <w:szCs w:val="24"/>
    </w:rPr>
  </w:style>
  <w:style w:type="paragraph" w:styleId="2">
    <w:name w:val="Heading 2"/>
    <w:basedOn w:val="Style15"/>
    <w:qFormat/>
    <w:pPr>
      <w:spacing w:before="200" w:after="100"/>
    </w:pPr>
    <w:rPr>
      <w:b/>
      <w:bCs/>
      <w:color w:val="2E74B5"/>
      <w:sz w:val="22"/>
      <w:szCs w:val="22"/>
    </w:rPr>
  </w:style>
  <w:style w:type="paragraph" w:styleId="3">
    <w:name w:val="Heading 3"/>
    <w:basedOn w:val="Style15"/>
    <w:qFormat/>
    <w:pPr/>
    <w:rPr>
      <w:color w:val="1F4D78"/>
      <w:sz w:val="24"/>
      <w:szCs w:val="24"/>
    </w:rPr>
  </w:style>
  <w:style w:type="paragraph" w:styleId="4">
    <w:name w:val="Heading 4"/>
    <w:basedOn w:val="Style15"/>
    <w:qFormat/>
    <w:pPr/>
    <w:rPr>
      <w:i/>
      <w:iCs/>
      <w:color w:val="2E74B5"/>
    </w:rPr>
  </w:style>
  <w:style w:type="paragraph" w:styleId="5">
    <w:name w:val="Heading 5"/>
    <w:basedOn w:val="Style15"/>
    <w:qFormat/>
    <w:pPr/>
    <w:rPr>
      <w:color w:val="2E74B5"/>
    </w:rPr>
  </w:style>
  <w:style w:type="paragraph" w:styleId="6">
    <w:name w:val="Heading 6"/>
    <w:basedOn w:val="Style15"/>
    <w:qFormat/>
    <w:pPr/>
    <w:rPr>
      <w:color w:val="1F4D78"/>
    </w:rPr>
  </w:style>
  <w:style w:type="character" w:styleId="Style8">
    <w:name w:val="Hyperlink"/>
    <w:uiPriority w:val="99"/>
    <w:unhideWhenUsed/>
    <w:rPr>
      <w:color w:val="0563C1"/>
      <w:u w:val="single"/>
    </w:rPr>
  </w:style>
  <w:style w:type="character" w:styleId="Style9">
    <w:name w:val="Символ сноски"/>
    <w:uiPriority w:val="99"/>
    <w:semiHidden/>
    <w:unhideWhenUsed/>
    <w:qFormat/>
    <w:rPr>
      <w:vertAlign w:val="superscript"/>
    </w:rPr>
  </w:style>
  <w:style w:type="character" w:styleId="Style10">
    <w:name w:val="Footnote Reference"/>
    <w:rPr>
      <w:vertAlign w:val="superscript"/>
    </w:rPr>
  </w:style>
  <w:style w:type="character" w:styleId="FootnoteTextChar">
    <w:name w:val="Footnote Text Char"/>
    <w:uiPriority w:val="99"/>
    <w:semiHidden/>
    <w:unhideWhenUsed/>
    <w:qFormat/>
    <w:rPr>
      <w:sz w:val="20"/>
      <w:szCs w:val="20"/>
    </w:rPr>
  </w:style>
  <w:style w:type="character" w:styleId="Style11">
    <w:name w:val="Символ концевой сноски"/>
    <w:uiPriority w:val="99"/>
    <w:semiHidden/>
    <w:unhideWhenUsed/>
    <w:qFormat/>
    <w:rPr>
      <w:vertAlign w:val="superscript"/>
    </w:rPr>
  </w:style>
  <w:style w:type="character" w:styleId="Style12">
    <w:name w:val="Endnote Reference"/>
    <w:rPr>
      <w:vertAlign w:val="superscript"/>
    </w:rPr>
  </w:style>
  <w:style w:type="character" w:styleId="EndnoteTextChar">
    <w:name w:val="Endnote Text Char"/>
    <w:uiPriority w:val="99"/>
    <w:semiHidden/>
    <w:unhideWhenUsed/>
    <w:qFormat/>
    <w:rPr>
      <w:sz w:val="20"/>
      <w:szCs w:val="20"/>
    </w:rPr>
  </w:style>
  <w:style w:type="character" w:styleId="Style13">
    <w:name w:val="Символ нумерации"/>
    <w:qFormat/>
    <w:rPr/>
  </w:style>
  <w:style w:type="character" w:styleId="Style14">
    <w:name w:val="Маркеры"/>
    <w:qFormat/>
    <w:rPr>
      <w:rFonts w:ascii="OpenSymbol" w:hAnsi="OpenSymbol" w:eastAsia="OpenSymbol" w:cs="OpenSymbol"/>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Style20">
    <w:name w:val="Title"/>
    <w:basedOn w:val="Style15"/>
    <w:qFormat/>
    <w:pPr/>
    <w:rPr>
      <w:sz w:val="56"/>
      <w:szCs w:val="56"/>
    </w:rPr>
  </w:style>
  <w:style w:type="paragraph" w:styleId="Strong">
    <w:name w:val="Strong"/>
    <w:qFormat/>
    <w:pPr>
      <w:widowControl/>
      <w:suppressAutoHyphens w:val="true"/>
      <w:bidi w:val="0"/>
      <w:spacing w:before="0" w:after="0"/>
      <w:jc w:val="left"/>
    </w:pPr>
    <w:rPr>
      <w:rFonts w:ascii="Times New Roman" w:hAnsi="Times New Roman" w:eastAsia="NSimSun" w:cs="Arial"/>
      <w:b/>
      <w:bCs/>
      <w:color w:val="auto"/>
      <w:kern w:val="0"/>
      <w:sz w:val="20"/>
      <w:szCs w:val="20"/>
      <w:lang w:val="ru-RU" w:eastAsia="zh-CN" w:bidi="hi-IN"/>
    </w:rPr>
  </w:style>
  <w:style w:type="paragraph" w:styleId="ListParagraph">
    <w:name w:val="List Paragraph"/>
    <w:qFormat/>
    <w:pPr>
      <w:widowControl/>
      <w:suppressAutoHyphens w:val="true"/>
      <w:bidi w:val="0"/>
      <w:spacing w:before="0" w:after="0"/>
      <w:jc w:val="left"/>
    </w:pPr>
    <w:rPr>
      <w:rFonts w:ascii="Times New Roman" w:hAnsi="Times New Roman" w:eastAsia="NSimSun" w:cs="Arial"/>
      <w:color w:val="auto"/>
      <w:kern w:val="0"/>
      <w:sz w:val="20"/>
      <w:szCs w:val="20"/>
      <w:lang w:val="ru-RU" w:eastAsia="zh-CN" w:bidi="hi-IN"/>
    </w:rPr>
  </w:style>
  <w:style w:type="paragraph" w:styleId="Style21">
    <w:name w:val="Footnote Text"/>
    <w:basedOn w:val="Normal"/>
    <w:link w:val="FootnoteTextChar"/>
    <w:uiPriority w:val="99"/>
    <w:semiHidden/>
    <w:unhideWhenUsed/>
    <w:pPr>
      <w:spacing w:lineRule="auto" w:line="240" w:before="0" w:after="0"/>
    </w:pPr>
    <w:rPr>
      <w:sz w:val="20"/>
      <w:szCs w:val="20"/>
    </w:rPr>
  </w:style>
  <w:style w:type="paragraph" w:styleId="Style22">
    <w:name w:val="Endnote Text"/>
    <w:basedOn w:val="Normal"/>
    <w:link w:val="EndnoteTextChar"/>
    <w:uiPriority w:val="99"/>
    <w:semiHidden/>
    <w:unhideWhenUsed/>
    <w:pPr>
      <w:spacing w:lineRule="auto" w:line="240" w:before="0" w:after="0"/>
    </w:pPr>
    <w:rPr>
      <w:sz w:val="20"/>
      <w:szCs w:val="20"/>
    </w:rPr>
  </w:style>
  <w:style w:type="paragraph" w:styleId="Style23">
    <w:name w:val="Колонтитул"/>
    <w:basedOn w:val="Normal"/>
    <w:qFormat/>
    <w:pPr/>
    <w:rPr/>
  </w:style>
  <w:style w:type="paragraph" w:styleId="Style24">
    <w:name w:val="Header"/>
    <w:basedOn w:val="Style23"/>
    <w:pPr/>
    <w:rPr/>
  </w:style>
  <w:style w:type="paragraph" w:styleId="Style25">
    <w:name w:val="Footer"/>
    <w:basedOn w:val="Style23"/>
    <w:pPr/>
    <w:rPr/>
  </w:style>
  <w:style w:type="paragraph" w:styleId="Style26">
    <w:name w:val="Содержимое таблицы"/>
    <w:basedOn w:val="Normal"/>
    <w:qFormat/>
    <w:pPr>
      <w:widowControl w:val="false"/>
      <w:suppressLineNumbers/>
    </w:pPr>
    <w:rPr/>
  </w:style>
  <w:style w:type="paragraph" w:styleId="Style27">
    <w:name w:val="Содержимое врезки"/>
    <w:basedOn w:val="Normal"/>
    <w:qFormat/>
    <w:pPr/>
    <w:rPr/>
  </w:style>
  <w:style w:type="paragraph" w:styleId="Style28">
    <w:name w:val="Заголовок таблицы"/>
    <w:basedOn w:val="Style26"/>
    <w:qFormat/>
    <w:pPr>
      <w:suppressLineNumbers/>
      <w:jc w:val="center"/>
    </w:pPr>
    <w:rPr>
      <w:b/>
      <w:bCs/>
    </w:rPr>
  </w:style>
  <w:style w:type="paragraph" w:styleId="ListBullet">
    <w:name w:val="List Bullet"/>
    <w:basedOn w:val="Normal"/>
    <w:qFormat/>
    <w:pPr>
      <w:numPr>
        <w:ilvl w:val="0"/>
        <w:numId w:val="1"/>
      </w:numPr>
      <w:spacing w:before="0" w:after="100"/>
      <w:contextualSpacing/>
    </w:pPr>
    <w:rPr/>
  </w:style>
  <w:style w:type="numbering" w:styleId="123">
    <w:name w:val="Нумерованный 123"/>
    <w:qFormat/>
  </w:style>
  <w:style w:type="numbering" w:styleId="Style29">
    <w:name w:val="Маркированный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955</TotalTime>
  <Application>LibreOffice/7.4.4.2$Windows_X86_64 LibreOffice_project/85569322deea74ec9134968a29af2df5663baa21</Application>
  <AppVersion>15.0000</AppVersion>
  <Pages>4</Pages>
  <Words>1371</Words>
  <Characters>9763</Characters>
  <CharactersWithSpaces>11009</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2026-09-26T15:03:28Z</dcterms:created>
  <dc:creator>АВТОР · концепт</dc:creator>
  <dc:description/>
  <dc:language>ru-RU</dc:language>
  <cp:lastModifiedBy/>
  <dcterms:modified xsi:type="dcterms:W3CDTF">2026-10-17T11:53:30Z</dcterms:modified>
  <cp:revision>59</cp:revision>
  <dc:subject/>
  <dc:title>Политика конфиденциальности</dc:title>
</cp:coreProperties>
</file>

<file path=docProps/custom.xml><?xml version="1.0" encoding="utf-8"?>
<Properties xmlns="http://schemas.openxmlformats.org/officeDocument/2006/custom-properties" xmlns:vt="http://schemas.openxmlformats.org/officeDocument/2006/docPropsVTypes"/>
</file>