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8"/>
        <w:rPr>
          <w:rFonts w:ascii="Montserrat" w:hAnsi="Montserrat"/>
          <w:b/>
          <w:b/>
          <w:color w:val="000000"/>
          <w:shd w:fill="auto" w:val="clear"/>
        </w:rPr>
      </w:pPr>
      <w:r>
        <w:rPr>
          <w:b/>
          <w:color w:val="000000"/>
          <w:sz w:val="24"/>
          <w:szCs w:val="24"/>
          <w:shd w:fill="auto" w:val="clear"/>
        </w:rPr>
        <w:t xml:space="preserve">Условия оплаты, гарантий и возвратов</w:t>
      </w:r>
    </w:p>
    <w:p>
      <w:pPr>
        <w:pStyle w:val="Normal"/>
        <w:spacing w:before="0" w:after="283"/>
        <w:rPr>
          <w:rFonts w:ascii="Montserrat" w:hAnsi="Montserrat"/>
          <w:color w:val="000000"/>
          <w:shd w:fill="auto" w:val="clear"/>
        </w:rPr>
      </w:pPr>
      <w:r>
        <w:rPr>
          <w:color w:val="000000"/>
          <w:shd w:fill="auto" w:val="clear"/>
        </w:rPr>
        <w:t xml:space="preserve">сайта «АВТОР · концепт»</w:t>
      </w:r>
    </w:p>
    <w:p>
      <w:pPr>
        <w:pStyle w:val="Normal"/>
        <w:widowControl/>
        <w:suppressAutoHyphens w:val="true"/>
        <w:bidi w:val="0"/>
        <w:spacing w:lineRule="exact" w:line="227" w:before="0" w:after="85"/>
        <w:ind w:left="0" w:right="57" w:hanging="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Документ описывает порядок оплаты работ и услуг, гарантийные обязательства и условия возврата и применяется вместе с Публичной офертой и Пользовательским соглашением.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Состав и стоимость работ и услуг</w:t>
      </w:r>
    </w:p>
    <w:tbl>
      <w:tblPr>
        <w:tblW w:w="9750" w:type="dxa"/>
        <w:jc w:val="left"/>
        <w:tblInd w:w="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691"/>
        <w:gridCol w:w="2909"/>
        <w:gridCol w:w="4150"/>
      </w:tblGrid>
      <w:tr>
        <w:trPr/>
        <w:tc>
          <w:tcPr>
            <w:tcW w:w="2691" w:type="dxa"/>
            <w:tcBorders>
              <w:bottom w:val="single" w:sz="4" w:space="0" w:color="29292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b/>
                <w:b/>
                <w:bCs/>
                <w:color w:val="292929"/>
                <w:spacing w:val="-6"/>
                <w:sz w:val="18"/>
                <w:szCs w:val="18"/>
              </w:rPr>
            </w:pPr>
            <w:r>
              <w:rPr>
                <w:b/>
                <w:bCs/>
                <w:color w:val="292929"/>
                <w:spacing w:val="-6"/>
                <w:sz w:val="18"/>
                <w:szCs w:val="18"/>
              </w:rPr>
              <w:t xml:space="preserve">Работа / услуга</w:t>
            </w:r>
          </w:p>
        </w:tc>
        <w:tc>
          <w:tcPr>
            <w:tcW w:w="2909" w:type="dxa"/>
            <w:tcBorders>
              <w:bottom w:val="single" w:sz="4" w:space="0" w:color="29292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b/>
                <w:b/>
                <w:bCs/>
                <w:color w:val="292929"/>
                <w:spacing w:val="-6"/>
                <w:sz w:val="18"/>
                <w:szCs w:val="18"/>
              </w:rPr>
            </w:pPr>
            <w:r>
              <w:rPr>
                <w:b/>
                <w:bCs/>
                <w:color w:val="292929"/>
                <w:spacing w:val="-6"/>
                <w:sz w:val="18"/>
                <w:szCs w:val="18"/>
              </w:rPr>
              <w:t xml:space="preserve">Стоимость</w:t>
            </w:r>
          </w:p>
        </w:tc>
        <w:tc>
          <w:tcPr>
            <w:tcW w:w="4150" w:type="dxa"/>
            <w:tcBorders>
              <w:bottom w:val="single" w:sz="4" w:space="0" w:color="29292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b/>
                <w:b/>
                <w:bCs/>
                <w:color w:val="292929"/>
                <w:spacing w:val="-6"/>
                <w:sz w:val="18"/>
                <w:szCs w:val="18"/>
              </w:rPr>
            </w:pPr>
            <w:r>
              <w:rPr>
                <w:b/>
                <w:bCs/>
                <w:color w:val="292929"/>
                <w:spacing w:val="-6"/>
                <w:sz w:val="18"/>
                <w:szCs w:val="18"/>
              </w:rPr>
              <w:t xml:space="preserve">Условие</w:t>
            </w:r>
          </w:p>
        </w:tc>
      </w:tr>
      <w:tr>
        <w:trPr/>
        <w:tc>
          <w:tcPr>
            <w:tcW w:w="2691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Мебель на заказ</w:t>
            </w:r>
          </w:p>
        </w:tc>
        <w:tc>
          <w:tcPr>
            <w:tcW w:w="2909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по Спецификации (смете)</w:t>
            </w:r>
          </w:p>
        </w:tc>
        <w:tc>
          <w:tcPr>
            <w:tcW w:w="4150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цена фиксируется после замера и утверждения проекта; аванс и остаток — по Спецификации; ориентировочный срок изготовления 21–45 дней; гарантия 5 лет на корпус, 2 года на фурнитуру</w:t>
            </w:r>
          </w:p>
        </w:tc>
      </w:tr>
      <w:tr>
        <w:trPr/>
        <w:tc>
          <w:tcPr>
            <w:tcW w:w="2691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Дизайн интерьера</w:t>
            </w:r>
          </w:p>
        </w:tc>
        <w:tc>
          <w:tcPr>
            <w:tcW w:w="2909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по Спецификации</w:t>
            </w:r>
          </w:p>
        </w:tc>
        <w:tc>
          <w:tcPr>
            <w:tcW w:w="4150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состав проекта и стоимость определяются заданием; оплата этапами или единовременно — по Спецификации</w:t>
            </w:r>
          </w:p>
        </w:tc>
      </w:tr>
      <w:tr>
        <w:trPr/>
        <w:tc>
          <w:tcPr>
            <w:tcW w:w="2691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Ремонт и комплектация</w:t>
            </w:r>
          </w:p>
        </w:tc>
        <w:tc>
          <w:tcPr>
            <w:tcW w:w="2909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по смете и графику этапов</w:t>
            </w:r>
          </w:p>
        </w:tc>
        <w:tc>
          <w:tcPr>
            <w:tcW w:w="4150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оплата по этапам, приёмка каждого этапа по акту, фотоотчёт по неделям</w:t>
            </w:r>
          </w:p>
        </w:tc>
      </w:tr>
      <w:tr>
        <w:trPr/>
        <w:tc>
          <w:tcPr>
            <w:tcW w:w="2691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Хоумстейджинг</w:t>
            </w:r>
          </w:p>
        </w:tc>
        <w:tc>
          <w:tcPr>
            <w:tcW w:w="2909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по смете предметов</w:t>
            </w:r>
          </w:p>
        </w:tc>
        <w:tc>
          <w:tcPr>
            <w:tcW w:w="4150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предметы подбираются под проект и остаются у заказчика; смета согласуется до закупки</w:t>
            </w:r>
          </w:p>
        </w:tc>
      </w:tr>
      <w:tr>
        <w:trPr/>
        <w:tc>
          <w:tcPr>
            <w:tcW w:w="2691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Цифровое сопровождение проекта</w:t>
            </w:r>
          </w:p>
        </w:tc>
        <w:tc>
          <w:tcPr>
            <w:tcW w:w="2909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по Спецификации</w:t>
            </w:r>
          </w:p>
        </w:tc>
        <w:tc>
          <w:tcPr>
            <w:tcW w:w="4150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личный кабинет, график этапов, документы; доступ предоставляется на срок проекта</w:t>
            </w:r>
          </w:p>
        </w:tc>
      </w:tr>
    </w:tbl>
    <w:p>
      <w:pPr>
        <w:pStyle w:val="Normal"/>
        <w:widowControl/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Цены, указанные на Сайте, носят информационный характер. Окончательная цена определяется Спецификацией (сметой) после замера и согласования проекта.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Порядок оплаты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Оплата производится в безналичном порядке по реквизитам, указанным в договоре или счёте, либо через платёжного партнёра, если он подключён. Исполнитель не получает и не хранит реквизиты банковских карт заказчиков — их обработка осуществляется на стороне платёжного партнёра.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Исполнитель выдаёт кассовый чек или иной платёжный документ в соответствии с законодательством Российской Федерации о применении контрольно-кассовой техники; для юридических лиц и индивидуальных предпринимателей оформляются счёт, акты и (или) универсальные передаточные документы.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Аванс и этапы оплаты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Размер аванса, порядок и сроки оплаты остатка по этапам указываются в Спецификации. Исполнитель начинает закупку материалов и производство после получения аванса.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Датой оплаты считается дата поступления денежных средств на счёт Исполнителя.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Приёмка и сроки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Сроки выполнения указываются в Спецификации и продлеваются в случаях, перечисленных в Публичной оферте. Результат принимается по акту; ремонтные работы принимаются по этапам.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Гарантия</w:t>
      </w:r>
    </w:p>
    <w:tbl>
      <w:tblPr>
        <w:tblW w:w="9750" w:type="dxa"/>
        <w:jc w:val="left"/>
        <w:tblInd w:w="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691"/>
        <w:gridCol w:w="2909"/>
        <w:gridCol w:w="4150"/>
      </w:tblGrid>
      <w:tr>
        <w:trPr/>
        <w:tc>
          <w:tcPr>
            <w:tcW w:w="2691" w:type="dxa"/>
            <w:tcBorders>
              <w:bottom w:val="single" w:sz="4" w:space="0" w:color="29292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b/>
                <w:b/>
                <w:bCs/>
                <w:color w:val="292929"/>
                <w:spacing w:val="-6"/>
                <w:sz w:val="18"/>
                <w:szCs w:val="18"/>
              </w:rPr>
            </w:pPr>
            <w:r>
              <w:rPr>
                <w:b/>
                <w:bCs/>
                <w:color w:val="292929"/>
                <w:spacing w:val="-6"/>
                <w:sz w:val="18"/>
                <w:szCs w:val="18"/>
              </w:rPr>
              <w:t xml:space="preserve">Предмет гарантии</w:t>
            </w:r>
          </w:p>
        </w:tc>
        <w:tc>
          <w:tcPr>
            <w:tcW w:w="2909" w:type="dxa"/>
            <w:tcBorders>
              <w:bottom w:val="single" w:sz="4" w:space="0" w:color="29292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b/>
                <w:b/>
                <w:bCs/>
                <w:color w:val="292929"/>
                <w:spacing w:val="-6"/>
                <w:sz w:val="18"/>
                <w:szCs w:val="18"/>
              </w:rPr>
            </w:pPr>
            <w:r>
              <w:rPr>
                <w:b/>
                <w:bCs/>
                <w:color w:val="292929"/>
                <w:spacing w:val="-6"/>
                <w:sz w:val="18"/>
                <w:szCs w:val="18"/>
              </w:rPr>
              <w:t xml:space="preserve">Гарантийный срок</w:t>
            </w:r>
          </w:p>
        </w:tc>
        <w:tc>
          <w:tcPr>
            <w:tcW w:w="4150" w:type="dxa"/>
            <w:tcBorders>
              <w:bottom w:val="single" w:sz="4" w:space="0" w:color="29292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b/>
                <w:b/>
                <w:bCs/>
                <w:color w:val="292929"/>
                <w:spacing w:val="-6"/>
                <w:sz w:val="18"/>
                <w:szCs w:val="18"/>
              </w:rPr>
            </w:pPr>
            <w:r>
              <w:rPr>
                <w:b/>
                <w:bCs/>
                <w:color w:val="292929"/>
                <w:spacing w:val="-6"/>
                <w:sz w:val="18"/>
                <w:szCs w:val="18"/>
              </w:rPr>
              <w:t xml:space="preserve">Условие</w:t>
            </w:r>
          </w:p>
        </w:tc>
      </w:tr>
      <w:tr>
        <w:trPr/>
        <w:tc>
          <w:tcPr>
            <w:tcW w:w="2691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Корпус мебели</w:t>
            </w:r>
          </w:p>
        </w:tc>
        <w:tc>
          <w:tcPr>
            <w:tcW w:w="2909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5 лет</w:t>
            </w:r>
          </w:p>
        </w:tc>
        <w:tc>
          <w:tcPr>
            <w:tcW w:w="4150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с даты подписания акта при эксплуатации по назначению</w:t>
            </w:r>
          </w:p>
        </w:tc>
      </w:tr>
      <w:tr>
        <w:trPr/>
        <w:tc>
          <w:tcPr>
            <w:tcW w:w="2691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Фурнитура</w:t>
            </w:r>
          </w:p>
        </w:tc>
        <w:tc>
          <w:tcPr>
            <w:tcW w:w="2909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2 года</w:t>
            </w:r>
          </w:p>
        </w:tc>
        <w:tc>
          <w:tcPr>
            <w:tcW w:w="4150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с даты подписания акта при эксплуатации по назначению</w:t>
            </w:r>
          </w:p>
        </w:tc>
      </w:tr>
      <w:tr>
        <w:trPr/>
        <w:tc>
          <w:tcPr>
            <w:tcW w:w="2691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Ремонтные и отделочные работы, комплектация</w:t>
            </w:r>
          </w:p>
        </w:tc>
        <w:tc>
          <w:tcPr>
            <w:tcW w:w="2909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указывается в Спецификации (акте); если не указан — срок, установленный законом (ст. 724 ГК РФ)</w:t>
            </w:r>
          </w:p>
        </w:tc>
        <w:tc>
          <w:tcPr>
            <w:tcW w:w="4150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с даты подписания акта приёмки соответствующего этапа</w:t>
            </w:r>
          </w:p>
        </w:tc>
      </w:tr>
    </w:tbl>
    <w:p>
      <w:pPr>
        <w:pStyle w:val="Normal"/>
        <w:widowControl/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Гарантия не распространяется на повреждения, возникшие по вине заказчика или третьих лиц, нарушение правил эксплуатации и ухода, естественный износ, воздействие влаги и температуры сверх допустимых значений для материала, самостоятельный ремонт или переделку.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Для обращения по гарантии заказчик направляет сообщение на электронную почту Исполнителя с описанием недостатка, фото и номером договора. Исполнитель осматривает изделие и устраняет недостатки в согласованный срок, не превышающий сроков, установленных законом.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Возвраты и отказ от договора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Заказчик вправе отказаться от исполнения договора до его завершения, оплатив Исполнителю фактически понесённые расходы и стоимость выполненной части работ (ст. 717, 782 ГК РФ; ст. 32 Закона РФ «О защите прав потребителей»). Расходы подтверждаются документами; остаток аванса возвращается заказчику.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Мебель, изготовленная по индивидуальным размерам и проекту заказчика, является товаром с индивидуально-определёнными свойствами; если такой товар надлежащего качества и может быть использован исключительно приобретающим его потребителем, он возврату и обмену не подлежит (п. 4 ст. 26.1 Закона РФ «О защите прав потребителей»). Это не ограничивает права потребителя при обнаружении недостатков (ст. 29 Закона РФ «О защите прав потребителей», ст. 723 ГК РФ).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Запрос на возврат направляется на электронную почту Исполнителя с указанием номера договора. Деньги возвращаются тем же способом, которым была произведена оплата, в срок до 10 (десяти) дней с даты предъявления требования, если иной срок не установлен законом.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При технической ошибке списания (двойное списание, списание без оказания услуги) возврат производится в полном объёме после проверки.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Настоящие Условия не ограничивают права потребителя, установленные законом.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Претензии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Претензии направляются на электронную почту Исполнителя, указанную в разделе «Контактная информация». Сроки рассмотрения претензий потребителей определяются Законом РФ «О защите прав потребителей», остальных заказчиков — Публичной офертой.</w:t>
      </w:r>
    </w:p>
    <w:p>
      <w:pPr>
        <w:pStyle w:val="Normal"/>
        <w:widowControl/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0378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00"/>
        <w:gridCol w:w="4908"/>
        <w:gridCol w:w="570"/>
      </w:tblGrid>
      <w:tr>
        <w:trPr/>
        <w:tc>
          <w:tcPr>
            <w:tcW w:w="4900" w:type="dxa"/>
            <w:tcBorders>
              <w:bottom w:val="single" w:sz="6" w:space="0" w:color="A80F1D"/>
            </w:tcBorders>
            <w:vAlign w:val="bottom"/>
          </w:tcPr>
          <w:p>
            <w:pPr>
              <w:pStyle w:val="Normal"/>
              <w:widowControl w:val="false"/>
              <w:spacing w:before="0" w:after="0"/>
              <w:rPr>
                <w:b w:val="false"/>
                <w:b w:val="false"/>
                <w:bCs w:val="false"/>
                <w:spacing w:val="10"/>
              </w:rPr>
            </w:pPr>
            <w:r>
              <w:rPr>
                <w:b w:val="false"/>
                <w:bCs w:val="false"/>
                <w:spacing w:val="10"/>
              </w:rPr>
            </w:r>
          </w:p>
        </w:tc>
        <w:tc>
          <w:tcPr>
            <w:tcW w:w="4908" w:type="dxa"/>
            <w:tcBorders>
              <w:bottom w:val="single" w:sz="6" w:space="0" w:color="A80F1D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113" w:hanging="0"/>
              <w:jc w:val="right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kern w:val="0"/>
                <w:sz w:val="21"/>
                <w:szCs w:val="21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292929"/>
                <w:kern w:val="0"/>
                <w:sz w:val="21"/>
                <w:szCs w:val="21"/>
                <w:lang w:val="ru-RU" w:eastAsia="zh-CN" w:bidi="hi-IN"/>
              </w:rPr>
            </w:r>
          </w:p>
        </w:tc>
        <w:tc>
          <w:tcPr>
            <w:tcW w:w="570" w:type="dxa"/>
            <w:tcBorders>
              <w:bottom w:val="single" w:sz="6" w:space="0" w:color="A80F1D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454" w:hanging="0"/>
              <w:jc w:val="right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kern w:val="0"/>
                <w:sz w:val="21"/>
                <w:szCs w:val="21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292929"/>
                <w:kern w:val="0"/>
                <w:sz w:val="21"/>
                <w:szCs w:val="21"/>
                <w:lang w:val="ru-RU" w:eastAsia="zh-CN" w:bidi="hi-IN"/>
              </w:rPr>
            </w:r>
          </w:p>
        </w:tc>
      </w:tr>
    </w:tbl>
    <w:p>
      <w:pPr>
        <w:pStyle w:val="1"/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Контактная информация</w:t>
      </w:r>
    </w:p>
    <w:tbl>
      <w:tblPr>
        <w:tblW w:w="5000" w:type="pct"/>
        <w:jc w:val="left"/>
        <w:tblInd w:w="0" w:type="dxa"/>
        <w:tblLayout w:type="fixed"/>
        <w:tblCellMar>
          <w:top w:w="120" w:type="dxa"/>
          <w:left w:w="0" w:type="dxa"/>
          <w:bottom w:w="160" w:type="dxa"/>
          <w:right w:w="200" w:type="dxa"/>
        </w:tblCellMar>
      </w:tblPr>
      <w:tblGrid>
        <w:gridCol w:w="3052"/>
        <w:gridCol w:w="1819"/>
        <w:gridCol w:w="1429"/>
        <w:gridCol w:w="3450"/>
      </w:tblGrid>
      <w:tr>
        <w:trPr/>
        <w:tc>
          <w:tcPr>
            <w:tcW w:w="9750" w:type="dxa"/>
            <w:gridSpan w:val="4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ПОЛНОЕ НАИМЕНОВАНИЕ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spacing w:val="-6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20"/>
                <w:szCs w:val="20"/>
                <w:shd w:fill="auto" w:val="clear"/>
                <w:lang w:val="ru-RU" w:eastAsia="zh-CN" w:bidi="hi-IN"/>
              </w:rPr>
              <w:t>Индивидуальный предприниматель Борисова Анна Алексеевна</w:t>
            </w:r>
          </w:p>
        </w:tc>
      </w:tr>
      <w:tr>
        <w:trPr/>
        <w:tc>
          <w:tcPr>
            <w:tcW w:w="9750" w:type="dxa"/>
            <w:gridSpan w:val="4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МЕСТОНАХОЖДЕНИЕ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spacing w:val="-6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20"/>
                <w:szCs w:val="20"/>
                <w:shd w:fill="auto" w:val="clear"/>
                <w:lang w:val="ru-RU" w:eastAsia="zh-CN" w:bidi="hi-IN"/>
              </w:rPr>
              <w:t xml:space="preserve">г. Москва. Полный адрес предоставляется по запросу с обоснованием цели обращения на почту info@avtor-concept.ru. Ответ направляется в течение 5 рабочих дней.</w:t>
            </w:r>
          </w:p>
        </w:tc>
      </w:tr>
      <w:tr>
        <w:trPr/>
        <w:tc>
          <w:tcPr>
            <w:tcW w:w="4871" w:type="dxa"/>
            <w:gridSpan w:val="2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ИНН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spacing w:val="-6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20"/>
                <w:szCs w:val="20"/>
                <w:shd w:fill="auto" w:val="clear"/>
                <w:lang w:val="ru-RU" w:eastAsia="zh-CN" w:bidi="hi-IN"/>
              </w:rPr>
              <w:t>772479493356</w:t>
            </w:r>
          </w:p>
        </w:tc>
        <w:tc>
          <w:tcPr>
            <w:tcW w:w="4879" w:type="dxa"/>
            <w:gridSpan w:val="2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ОГРН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spacing w:val="-6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20"/>
                <w:szCs w:val="20"/>
                <w:shd w:fill="auto" w:val="clear"/>
                <w:lang w:val="ru-RU" w:eastAsia="zh-CN" w:bidi="hi-IN"/>
              </w:rPr>
              <w:t>316774600207835   15.04.2016</w:t>
            </w:r>
          </w:p>
        </w:tc>
      </w:tr>
      <w:tr>
        <w:trPr/>
        <w:tc>
          <w:tcPr>
            <w:tcW w:w="3052" w:type="dxa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САЙТ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rPr>
                <w:rFonts w:eastAsia="Montserrat" w:cs="Montserrat"/>
                <w:b w:val="false"/>
                <w:b w:val="false"/>
                <w:bCs w:val="false"/>
                <w:color w:val="000000"/>
                <w:spacing w:val="-6"/>
                <w:kern w:val="0"/>
                <w:shd w:fill="auto" w:val="clear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18"/>
                <w:szCs w:val="18"/>
                <w:shd w:fill="auto" w:val="clear"/>
                <w:lang w:val="ru-RU" w:eastAsia="zh-CN" w:bidi="hi-IN"/>
              </w:rPr>
              <w:t>https://avtor-concept.ru</w:t>
            </w:r>
          </w:p>
        </w:tc>
        <w:tc>
          <w:tcPr>
            <w:tcW w:w="3248" w:type="dxa"/>
            <w:gridSpan w:val="2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E-MAIL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rPr>
                <w:rFonts w:eastAsia="Montserrat" w:cs="Montserrat"/>
                <w:b w:val="false"/>
                <w:b w:val="false"/>
                <w:bCs w:val="false"/>
                <w:color w:val="000000"/>
                <w:spacing w:val="-6"/>
                <w:kern w:val="0"/>
                <w:shd w:fill="auto" w:val="clear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18"/>
                <w:szCs w:val="18"/>
                <w:shd w:fill="auto" w:val="clear"/>
                <w:lang w:val="ru-RU" w:eastAsia="zh-CN" w:bidi="hi-IN"/>
              </w:rPr>
              <w:t>avtor-docinfo@yandex.ru</w:t>
            </w:r>
          </w:p>
        </w:tc>
        <w:tc>
          <w:tcPr>
            <w:tcW w:w="3450" w:type="dxa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СРОК ОТВЕТА НА ОБРАЩЕНИЯ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160"/>
              <w:ind w:left="0" w:right="0" w:hanging="0"/>
              <w:jc w:val="left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spacing w:val="-6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18"/>
                <w:szCs w:val="18"/>
                <w:shd w:fill="auto" w:val="clear"/>
                <w:lang w:val="ru-RU" w:eastAsia="zh-CN" w:bidi="hi-IN"/>
              </w:rPr>
              <w:t>до 10 рабочих дней</w:t>
            </w: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14"/>
                <w:szCs w:val="14"/>
                <w:shd w:fill="auto" w:val="clear"/>
                <w:lang w:val="ru-RU" w:eastAsia="zh-CN" w:bidi="hi-IN"/>
              </w:rPr>
              <w:t/>
            </w:r>
          </w:p>
        </w:tc>
      </w:tr>
    </w:tbl>
    <w:p>
      <w:pPr>
        <w:pStyle w:val="Normal"/>
        <w:widowControl/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/>
      </w:r>
    </w:p>
    <w:p>
      <w:pPr>
        <w:pStyle w:val="Normal"/>
        <w:widowControl/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/>
      </w:r>
    </w:p>
    <w:p>
      <w:pPr>
        <w:pStyle w:val="Normal"/>
        <w:widowControl/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/>
      </w:r>
    </w:p>
    <w:sectPr>
      <w:headerReference w:type="default" r:id="rId2"/>
      <w:headerReference w:type="first" r:id="rId3"/>
      <w:footerReference w:type="default" r:id="rId4"/>
      <w:footerReference w:type="first" r:id="rId5"/>
      <w:type w:val="nextPage"/>
      <w:pgSz w:w="11906" w:h="16838"/>
      <w:pgMar w:left="1162" w:right="994" w:gutter="0" w:header="736" w:top="1162" w:footer="454" w:bottom="1162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Montserrat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suppressAutoHyphens w:val="true"/>
      <w:bidi w:val="0"/>
      <w:spacing w:lineRule="auto" w:line="240" w:before="0" w:after="0"/>
      <w:ind w:left="0" w:right="0" w:hanging="0"/>
      <w:jc w:val="right"/>
      <w:rPr>
        <w:rFonts w:eastAsia="Montserrat" w:cs="Montserrat"/>
        <w:color w:val="8A8A8A"/>
        <w:spacing w:val="-6"/>
        <w:sz w:val="19"/>
        <w:szCs w:val="19"/>
      </w:rPr>
    </w:pPr>
    <w:r>
      <w:rPr>
        <w:rFonts w:eastAsia="Montserrat" w:cs="Montserrat"/>
        <w:color w:val="8A8A8A"/>
        <w:spacing w:val="-6"/>
        <w:sz w:val="19"/>
        <w:szCs w:val="19"/>
      </w:rPr>
      <w:t xml:space="preserve">страница </w:t>
    </w:r>
    <w:r>
      <w:rPr>
        <w:rFonts w:eastAsia="Montserrat" w:cs="Montserrat"/>
        <w:color w:val="8A8A8A"/>
        <w:spacing w:val="-6"/>
        <w:sz w:val="19"/>
        <w:szCs w:val="19"/>
      </w:rPr>
      <w:fldChar w:fldCharType="begin"/>
    </w:r>
    <w:r>
      <w:rPr>
        <w:sz w:val="19"/>
        <w:spacing w:val="-6"/>
        <w:szCs w:val="19"/>
        <w:rFonts w:eastAsia="Montserrat" w:cs="Montserrat"/>
        <w:color w:val="8A8A8A"/>
      </w:rPr>
      <w:instrText xml:space="preserve"> PAGE </w:instrText>
    </w:r>
    <w:r>
      <w:rPr>
        <w:sz w:val="19"/>
        <w:spacing w:val="-6"/>
        <w:szCs w:val="19"/>
        <w:rFonts w:eastAsia="Montserrat" w:cs="Montserrat"/>
        <w:color w:val="8A8A8A"/>
      </w:rPr>
      <w:fldChar w:fldCharType="separate"/>
    </w:r>
    <w:r>
      <w:rPr>
        <w:sz w:val="19"/>
        <w:spacing w:val="-6"/>
        <w:szCs w:val="19"/>
        <w:rFonts w:eastAsia="Montserrat" w:cs="Montserrat"/>
        <w:color w:val="8A8A8A"/>
      </w:rPr>
      <w:t>0</w:t>
    </w:r>
    <w:r>
      <w:rPr>
        <w:sz w:val="19"/>
        <w:spacing w:val="-6"/>
        <w:szCs w:val="19"/>
        <w:rFonts w:eastAsia="Montserrat" w:cs="Montserrat"/>
        <w:color w:val="8A8A8A"/>
      </w:rPr>
      <w:fldChar w:fldCharType="end"/>
    </w:r>
    <w:r>
      <w:rPr>
        <w:rFonts w:eastAsia="Montserrat" w:cs="Montserrat"/>
        <w:color w:val="8A8A8A"/>
        <w:spacing w:val="-6"/>
        <w:sz w:val="19"/>
        <w:szCs w:val="19"/>
      </w:rPr>
      <w:t xml:space="preserve"> из </w:t>
    </w:r>
    <w:r>
      <w:rPr>
        <w:rFonts w:eastAsia="Montserrat" w:cs="Montserrat"/>
        <w:color w:val="8A8A8A"/>
        <w:spacing w:val="-6"/>
        <w:sz w:val="19"/>
        <w:szCs w:val="19"/>
      </w:rPr>
      <w:fldChar w:fldCharType="begin"/>
    </w:r>
    <w:r>
      <w:rPr>
        <w:sz w:val="19"/>
        <w:spacing w:val="-6"/>
        <w:szCs w:val="19"/>
        <w:rFonts w:eastAsia="Montserrat" w:cs="Montserrat"/>
        <w:color w:val="8A8A8A"/>
      </w:rPr>
      <w:instrText xml:space="preserve"> NUMPAGES </w:instrText>
    </w:r>
    <w:r>
      <w:rPr>
        <w:sz w:val="19"/>
        <w:spacing w:val="-6"/>
        <w:szCs w:val="19"/>
        <w:rFonts w:eastAsia="Montserrat" w:cs="Montserrat"/>
        <w:color w:val="8A8A8A"/>
      </w:rPr>
      <w:fldChar w:fldCharType="separate"/>
    </w:r>
    <w:r>
      <w:rPr>
        <w:sz w:val="19"/>
        <w:spacing w:val="-6"/>
        <w:szCs w:val="19"/>
        <w:rFonts w:eastAsia="Montserrat" w:cs="Montserrat"/>
        <w:color w:val="8A8A8A"/>
      </w:rPr>
      <w:t>2</w:t>
    </w:r>
    <w:r>
      <w:rPr>
        <w:sz w:val="19"/>
        <w:spacing w:val="-6"/>
        <w:szCs w:val="19"/>
        <w:rFonts w:eastAsia="Montserrat" w:cs="Montserrat"/>
        <w:color w:val="8A8A8A"/>
      </w:rPr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suppressAutoHyphens w:val="true"/>
      <w:bidi w:val="0"/>
      <w:spacing w:lineRule="auto" w:line="240" w:before="0" w:after="0"/>
      <w:ind w:left="0" w:right="0" w:hanging="0"/>
      <w:jc w:val="right"/>
      <w:rPr>
        <w:rFonts w:eastAsia="Montserrat" w:cs="Montserrat"/>
        <w:color w:val="8A8A8A"/>
        <w:spacing w:val="-6"/>
        <w:sz w:val="19"/>
        <w:szCs w:val="19"/>
      </w:rPr>
    </w:pPr>
    <w:r>
      <w:rPr>
        <w:rFonts w:eastAsia="Montserrat" w:cs="Montserrat"/>
        <w:color w:val="8A8A8A"/>
        <w:spacing w:val="-6"/>
        <w:sz w:val="19"/>
        <w:szCs w:val="19"/>
      </w:rPr>
      <w:t xml:space="preserve">страница </w:t>
    </w:r>
    <w:r>
      <w:rPr>
        <w:rFonts w:eastAsia="Montserrat" w:cs="Montserrat"/>
        <w:color w:val="8A8A8A"/>
        <w:spacing w:val="-6"/>
        <w:sz w:val="19"/>
        <w:szCs w:val="19"/>
      </w:rPr>
      <w:fldChar w:fldCharType="begin"/>
    </w:r>
    <w:r>
      <w:rPr>
        <w:sz w:val="19"/>
        <w:spacing w:val="-6"/>
        <w:szCs w:val="19"/>
        <w:rFonts w:eastAsia="Montserrat" w:cs="Montserrat"/>
        <w:color w:val="8A8A8A"/>
      </w:rPr>
      <w:instrText xml:space="preserve"> PAGE </w:instrText>
    </w:r>
    <w:r>
      <w:rPr>
        <w:sz w:val="19"/>
        <w:spacing w:val="-6"/>
        <w:szCs w:val="19"/>
        <w:rFonts w:eastAsia="Montserrat" w:cs="Montserrat"/>
        <w:color w:val="8A8A8A"/>
      </w:rPr>
      <w:fldChar w:fldCharType="separate"/>
    </w:r>
    <w:r>
      <w:rPr>
        <w:sz w:val="19"/>
        <w:spacing w:val="-6"/>
        <w:szCs w:val="19"/>
        <w:rFonts w:eastAsia="Montserrat" w:cs="Montserrat"/>
        <w:color w:val="8A8A8A"/>
      </w:rPr>
      <w:t>0</w:t>
    </w:r>
    <w:r>
      <w:rPr>
        <w:sz w:val="19"/>
        <w:spacing w:val="-6"/>
        <w:szCs w:val="19"/>
        <w:rFonts w:eastAsia="Montserrat" w:cs="Montserrat"/>
        <w:color w:val="8A8A8A"/>
      </w:rPr>
      <w:fldChar w:fldCharType="end"/>
    </w:r>
    <w:r>
      <w:rPr>
        <w:rFonts w:eastAsia="Montserrat" w:cs="Montserrat"/>
        <w:color w:val="8A8A8A"/>
        <w:spacing w:val="-6"/>
        <w:sz w:val="19"/>
        <w:szCs w:val="19"/>
      </w:rPr>
      <w:t xml:space="preserve"> из </w:t>
    </w:r>
    <w:r>
      <w:rPr>
        <w:rFonts w:eastAsia="Montserrat" w:cs="Montserrat"/>
        <w:color w:val="8A8A8A"/>
        <w:spacing w:val="-6"/>
        <w:sz w:val="19"/>
        <w:szCs w:val="19"/>
      </w:rPr>
      <w:fldChar w:fldCharType="begin"/>
    </w:r>
    <w:r>
      <w:rPr>
        <w:sz w:val="19"/>
        <w:spacing w:val="-6"/>
        <w:szCs w:val="19"/>
        <w:rFonts w:eastAsia="Montserrat" w:cs="Montserrat"/>
        <w:color w:val="8A8A8A"/>
      </w:rPr>
      <w:instrText xml:space="preserve"> NUMPAGES </w:instrText>
    </w:r>
    <w:r>
      <w:rPr>
        <w:sz w:val="19"/>
        <w:spacing w:val="-6"/>
        <w:szCs w:val="19"/>
        <w:rFonts w:eastAsia="Montserrat" w:cs="Montserrat"/>
        <w:color w:val="8A8A8A"/>
      </w:rPr>
      <w:fldChar w:fldCharType="separate"/>
    </w:r>
    <w:r>
      <w:rPr>
        <w:sz w:val="19"/>
        <w:spacing w:val="-6"/>
        <w:szCs w:val="19"/>
        <w:rFonts w:eastAsia="Montserrat" w:cs="Montserrat"/>
        <w:color w:val="8A8A8A"/>
      </w:rPr>
      <w:t>2</w:t>
    </w:r>
    <w:r>
      <w:rPr>
        <w:sz w:val="19"/>
        <w:spacing w:val="-6"/>
        <w:szCs w:val="19"/>
        <w:rFonts w:eastAsia="Montserrat" w:cs="Montserrat"/>
        <w:color w:val="8A8A8A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350" w:type="dxa"/>
      <w:jc w:val="left"/>
      <w:tblInd w:w="29" w:type="dxa"/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4865"/>
      <w:gridCol w:w="4763"/>
      <w:gridCol w:w="722"/>
    </w:tblGrid>
    <w:tr>
      <w:trPr/>
      <w:tc>
        <w:tcPr>
          <w:tcW w:w="4865" w:type="dxa"/>
          <w:tcBorders>
            <w:bottom w:val="single" w:sz="6" w:space="0" w:color="A80F1D"/>
          </w:tcBorders>
          <w:vAlign w:val="bottom"/>
        </w:tcPr>
        <w:p>
          <w:pPr>
            <w:pStyle w:val="Normal"/>
            <w:widowControl w:val="false"/>
            <w:spacing w:before="0" w:after="0"/>
            <w:rPr>
              <w:rFonts w:eastAsia="Montserrat" w:cs="Montserrat"/>
              <w:b/>
              <w:b/>
              <w:bCs/>
              <w:color w:val="292929"/>
              <w:spacing w:val="-6"/>
              <w:sz w:val="20"/>
              <w:szCs w:val="20"/>
            </w:rPr>
          </w:pPr>
          <w:r>
            <w:rPr>
              <w:rFonts w:eastAsia="Montserrat" w:cs="Montserrat"/>
              <w:b/>
              <w:bCs/>
              <w:color w:val="292929"/>
              <w:spacing w:val="-6"/>
              <w:sz w:val="20"/>
              <w:szCs w:val="20"/>
            </w:rPr>
            <w:t xml:space="preserve">УСЛОВИЯ   ОПЛАТЫ, ГАРАНТИЙ И ВОЗВРАТОВ</w:t>
          </w:r>
        </w:p>
      </w:tc>
      <w:tc>
        <w:tcPr>
          <w:tcW w:w="4763" w:type="dxa"/>
          <w:tcBorders>
            <w:bottom w:val="single" w:sz="6" w:space="0" w:color="A80F1D"/>
          </w:tcBorders>
          <w:vAlign w:val="bottom"/>
        </w:tcPr>
        <w:p>
          <w:pPr>
            <w:pStyle w:val="Normal"/>
            <w:widowControl w:val="false"/>
            <w:suppressAutoHyphens w:val="true"/>
            <w:bidi w:val="0"/>
            <w:spacing w:lineRule="auto" w:line="240" w:before="0" w:after="0"/>
            <w:ind w:left="0" w:right="113" w:hanging="0"/>
            <w:jc w:val="right"/>
            <w:rPr/>
          </w:pPr>
          <w:r>
            <w:rPr>
              <w:rFonts w:eastAsia="Montserrat" w:cs="Montserrat"/>
              <w:b w:val="false"/>
              <w:bCs w:val="false"/>
              <w:color w:val="8A8A8A"/>
              <w:spacing w:val="-6"/>
              <w:sz w:val="19"/>
              <w:szCs w:val="19"/>
            </w:rPr>
            <w:t xml:space="preserve">ВЕРСИЯ 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 xml:space="preserve">1.0  </w:t>
          </w:r>
          <w:r>
            <w:rPr>
              <w:rFonts w:eastAsia="Montserrat" w:cs="Montserrat"/>
              <w:b w:val="false"/>
              <w:bCs w:val="false"/>
              <w:color w:val="8A8A8A"/>
              <w:spacing w:val="-6"/>
              <w:sz w:val="19"/>
              <w:szCs w:val="19"/>
            </w:rPr>
            <w:t xml:space="preserve">ДАТА вступления в силу 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>01.1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>0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>.2026</w:t>
          </w:r>
        </w:p>
      </w:tc>
      <w:tc>
        <w:tcPr>
          <w:tcW w:w="722" w:type="dxa"/>
          <w:tcBorders>
            <w:bottom w:val="single" w:sz="6" w:space="0" w:color="A80F1D"/>
          </w:tcBorders>
          <w:vAlign w:val="bottom"/>
        </w:tcPr>
        <w:p>
          <w:pPr>
            <w:pStyle w:val="Normal"/>
            <w:widowControl w:val="false"/>
            <w:bidi w:val="0"/>
            <w:spacing w:lineRule="auto" w:line="240" w:before="0" w:after="0"/>
            <w:ind w:left="0" w:right="454" w:hanging="0"/>
            <w:jc w:val="right"/>
            <w:rPr/>
          </w:pPr>
          <w:r>
            <w:rPr/>
          </w:r>
        </w:p>
      </w:tc>
    </w:tr>
  </w:tbl>
  <w:p>
    <w:pPr>
      <w:pStyle w:val="Normal"/>
      <w:widowControl/>
      <w:suppressAutoHyphens w:val="true"/>
      <w:bidi w:val="0"/>
      <w:spacing w:lineRule="auto" w:line="240" w:before="0" w:after="200"/>
      <w:ind w:left="0" w:right="510" w:hanging="0"/>
      <w:jc w:val="left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350" w:type="dxa"/>
      <w:jc w:val="left"/>
      <w:tblInd w:w="29" w:type="dxa"/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5160"/>
      <w:gridCol w:w="4583"/>
      <w:gridCol w:w="607"/>
    </w:tblGrid>
    <w:tr>
      <w:trPr/>
      <w:tc>
        <w:tcPr>
          <w:tcW w:w="5160" w:type="dxa"/>
          <w:tcBorders>
            <w:bottom w:val="single" w:sz="6" w:space="0" w:color="A80F1D"/>
          </w:tcBorders>
          <w:vAlign w:val="bottom"/>
        </w:tcPr>
        <w:p>
          <w:pPr>
            <w:pStyle w:val="Normal"/>
            <w:widowControl w:val="false"/>
            <w:spacing w:before="0" w:after="0"/>
            <w:rPr>
              <w:rFonts w:eastAsia="Montserrat" w:cs="Montserrat"/>
              <w:b/>
              <w:b/>
              <w:bCs/>
              <w:color w:val="292929"/>
              <w:spacing w:val="-6"/>
            </w:rPr>
          </w:pPr>
          <w:r>
            <w:rPr>
              <w:rFonts w:eastAsia="Montserrat" w:cs="Montserrat"/>
              <w:b/>
              <w:bCs/>
              <w:color w:val="292929"/>
              <w:spacing w:val="-6"/>
              <w:sz w:val="33"/>
              <w:szCs w:val="33"/>
            </w:rPr>
            <w:t xml:space="preserve">УСЛОВИЯ ОПЛАТЫ, ГАРАНТИЙ И ВОЗВРАТОВ</w:t>
          </w:r>
        </w:p>
      </w:tc>
      <w:tc>
        <w:tcPr>
          <w:tcW w:w="4583" w:type="dxa"/>
          <w:tcBorders>
            <w:bottom w:val="single" w:sz="6" w:space="0" w:color="A80F1D"/>
          </w:tcBorders>
          <w:vAlign w:val="bottom"/>
        </w:tcPr>
        <w:p>
          <w:pPr>
            <w:pStyle w:val="Normal"/>
            <w:widowControl w:val="false"/>
            <w:suppressAutoHyphens w:val="true"/>
            <w:bidi w:val="0"/>
            <w:spacing w:lineRule="auto" w:line="240" w:before="0" w:after="0"/>
            <w:ind w:left="0" w:right="113" w:hanging="0"/>
            <w:jc w:val="right"/>
            <w:rPr/>
          </w:pPr>
          <w:r>
            <w:rPr>
              <w:rFonts w:eastAsia="Montserrat" w:cs="Montserrat"/>
              <w:b w:val="false"/>
              <w:bCs w:val="false"/>
              <w:color w:val="8A8A8A"/>
              <w:spacing w:val="-6"/>
              <w:sz w:val="19"/>
              <w:szCs w:val="19"/>
            </w:rPr>
            <w:t xml:space="preserve">ВЕРСИЯ 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 xml:space="preserve">1.0  </w:t>
          </w:r>
          <w:r>
            <w:rPr>
              <w:rFonts w:eastAsia="Montserrat" w:cs="Montserrat"/>
              <w:b w:val="false"/>
              <w:bCs w:val="false"/>
              <w:color w:val="8A8A8A"/>
              <w:spacing w:val="-6"/>
              <w:sz w:val="19"/>
              <w:szCs w:val="19"/>
            </w:rPr>
            <w:t xml:space="preserve">ДАТА вступления в силу 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>01.1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>0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>.2026</w:t>
          </w:r>
        </w:p>
      </w:tc>
      <w:tc>
        <w:tcPr>
          <w:tcW w:w="607" w:type="dxa"/>
          <w:tcBorders>
            <w:bottom w:val="single" w:sz="6" w:space="0" w:color="A80F1D"/>
          </w:tcBorders>
          <w:vAlign w:val="bottom"/>
        </w:tcPr>
        <w:p>
          <w:pPr>
            <w:pStyle w:val="Normal"/>
            <w:widowControl w:val="false"/>
            <w:bidi w:val="0"/>
            <w:spacing w:lineRule="auto" w:line="240" w:before="0" w:after="0"/>
            <w:ind w:left="0" w:right="454" w:hanging="0"/>
            <w:jc w:val="right"/>
            <w:rPr/>
          </w:pPr>
          <w:r>
            <w:rPr/>
          </w:r>
        </w:p>
      </w:tc>
    </w:tr>
  </w:tbl>
  <w:p>
    <w:pPr>
      <w:pStyle w:val="Normal"/>
      <w:widowControl/>
      <w:suppressAutoHyphens w:val="true"/>
      <w:bidi w:val="0"/>
      <w:spacing w:lineRule="auto" w:line="240" w:before="0" w:after="200"/>
      <w:ind w:left="0" w:right="510" w:hanging="0"/>
      <w:jc w:val="lef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 %1 "/>
      <w:lvlJc w:val="left"/>
      <w:pPr>
        <w:tabs>
          <w:tab w:val="num" w:pos="227"/>
        </w:tabs>
        <w:ind w:left="227" w:hanging="227"/>
      </w:pPr>
      <w:rPr/>
    </w:lvl>
    <w:lvl w:ilvl="1">
      <w:start w:val="1"/>
      <w:numFmt w:val="decimal"/>
      <w:lvlText w:val=" %1.%2 "/>
      <w:lvlJc w:val="left"/>
      <w:pPr>
        <w:tabs>
          <w:tab w:val="num" w:pos="454"/>
        </w:tabs>
        <w:ind w:left="454" w:hanging="227"/>
      </w:pPr>
      <w:rPr/>
    </w:lvl>
    <w:lvl w:ilvl="2">
      <w:start w:val="1"/>
      <w:numFmt w:val="decimal"/>
      <w:lvlText w:val=" %1.%2.%3 "/>
      <w:lvlJc w:val="left"/>
      <w:pPr>
        <w:tabs>
          <w:tab w:val="num" w:pos="680"/>
        </w:tabs>
        <w:ind w:left="680" w:hanging="227"/>
      </w:pPr>
      <w:rPr/>
    </w:lvl>
    <w:lvl w:ilvl="3">
      <w:start w:val="1"/>
      <w:numFmt w:val="decimal"/>
      <w:lvlText w:val=" %1.%2.%3.%4 "/>
      <w:lvlJc w:val="left"/>
      <w:pPr>
        <w:tabs>
          <w:tab w:val="num" w:pos="907"/>
        </w:tabs>
        <w:ind w:left="907" w:hanging="227"/>
      </w:pPr>
      <w:rPr/>
    </w:lvl>
    <w:lvl w:ilvl="4">
      <w:start w:val="1"/>
      <w:numFmt w:val="decimal"/>
      <w:lvlText w:val=" %1.%2.%3.%4.%5 "/>
      <w:lvlJc w:val="left"/>
      <w:pPr>
        <w:tabs>
          <w:tab w:val="num" w:pos="1134"/>
        </w:tabs>
        <w:ind w:left="1134" w:hanging="227"/>
      </w:pPr>
      <w:rPr/>
    </w:lvl>
    <w:lvl w:ilvl="5">
      <w:start w:val="1"/>
      <w:numFmt w:val="decimal"/>
      <w:lvlText w:val=" %1.%2.%3.%4.%5.%6 "/>
      <w:lvlJc w:val="left"/>
      <w:pPr>
        <w:tabs>
          <w:tab w:val="num" w:pos="1361"/>
        </w:tabs>
        <w:ind w:left="1361" w:hanging="227"/>
      </w:pPr>
      <w:rPr/>
    </w:lvl>
    <w:lvl w:ilvl="6">
      <w:start w:val="1"/>
      <w:numFmt w:val="decimal"/>
      <w:lvlText w:val=" %1.%2.%3.%4.%5.%6.%7 "/>
      <w:lvlJc w:val="left"/>
      <w:pPr>
        <w:tabs>
          <w:tab w:val="num" w:pos="1587"/>
        </w:tabs>
        <w:ind w:left="1587" w:hanging="227"/>
      </w:pPr>
      <w:rPr/>
    </w:lvl>
    <w:lvl w:ilvl="7">
      <w:start w:val="1"/>
      <w:numFmt w:val="decimal"/>
      <w:lvlText w:val=" %1.%2.%3.%4.%5.%6.%7.%8 "/>
      <w:lvlJc w:val="left"/>
      <w:pPr>
        <w:tabs>
          <w:tab w:val="num" w:pos="1814"/>
        </w:tabs>
        <w:ind w:left="1814" w:hanging="227"/>
      </w:pPr>
      <w:rPr/>
    </w:lvl>
    <w:lvl w:ilvl="8">
      <w:start w:val="1"/>
      <w:numFmt w:val="decimal"/>
      <w:lvlText w:val=" %1.%2.%3.%4.%5.%6.%7.%8.%9 "/>
      <w:lvlJc w:val="left"/>
      <w:pPr>
        <w:tabs>
          <w:tab w:val="num" w:pos="2041"/>
        </w:tabs>
        <w:ind w:left="2041" w:hanging="227"/>
      </w:pPr>
      <w:rPr/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>
        <w:sz w:val="20"/>
        <w:szCs w:val="2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460"/>
        </w:tabs>
        <w:ind w:left="460" w:hanging="460"/>
      </w:pPr>
      <w:rPr/>
    </w:lvl>
    <w:lvl w:ilvl="2">
      <w:start w:val="1"/>
      <w:numFmt w:val="bullet"/>
      <w:lvlText w:val=""/>
      <w:lvlJc w:val="left"/>
      <w:pPr>
        <w:tabs>
          <w:tab w:val="num" w:pos="1600"/>
        </w:tabs>
        <w:ind w:left="1600" w:hanging="60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643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40" w:before="0" w:after="120"/>
      <w:ind w:left="0" w:right="567" w:hanging="0"/>
      <w:jc w:val="left"/>
    </w:pPr>
    <w:rPr>
      <w:rFonts w:ascii="Montserrat" w:hAnsi="Montserrat" w:eastAsia="NSimSun" w:cs="Arial"/>
      <w:color w:val="auto"/>
      <w:spacing w:val="-6"/>
      <w:kern w:val="0"/>
      <w:sz w:val="20"/>
      <w:szCs w:val="20"/>
      <w:lang w:val="ru-RU" w:eastAsia="zh-CN" w:bidi="hi-IN"/>
    </w:rPr>
  </w:style>
  <w:style w:type="paragraph" w:styleId="1">
    <w:name w:val="Heading 1"/>
    <w:basedOn w:val="Style15"/>
    <w:qFormat/>
    <w:pPr>
      <w:spacing w:before="227" w:after="113"/>
    </w:pPr>
    <w:rPr>
      <w:b/>
      <w:bCs/>
      <w:color w:val="2E74B5"/>
      <w:sz w:val="24"/>
      <w:szCs w:val="24"/>
    </w:rPr>
  </w:style>
  <w:style w:type="paragraph" w:styleId="2">
    <w:name w:val="Heading 2"/>
    <w:basedOn w:val="Style15"/>
    <w:qFormat/>
    <w:pPr>
      <w:spacing w:before="200" w:after="100"/>
    </w:pPr>
    <w:rPr>
      <w:b/>
      <w:bCs/>
      <w:color w:val="2E74B5"/>
      <w:sz w:val="22"/>
      <w:szCs w:val="22"/>
    </w:rPr>
  </w:style>
  <w:style w:type="paragraph" w:styleId="3">
    <w:name w:val="Heading 3"/>
    <w:basedOn w:val="Style15"/>
    <w:qFormat/>
    <w:pPr/>
    <w:rPr>
      <w:color w:val="1F4D78"/>
      <w:sz w:val="24"/>
      <w:szCs w:val="24"/>
    </w:rPr>
  </w:style>
  <w:style w:type="paragraph" w:styleId="4">
    <w:name w:val="Heading 4"/>
    <w:basedOn w:val="Style15"/>
    <w:qFormat/>
    <w:pPr/>
    <w:rPr>
      <w:i/>
      <w:iCs/>
      <w:color w:val="2E74B5"/>
    </w:rPr>
  </w:style>
  <w:style w:type="paragraph" w:styleId="5">
    <w:name w:val="Heading 5"/>
    <w:basedOn w:val="Style15"/>
    <w:qFormat/>
    <w:pPr/>
    <w:rPr>
      <w:color w:val="2E74B5"/>
    </w:rPr>
  </w:style>
  <w:style w:type="paragraph" w:styleId="6">
    <w:name w:val="Heading 6"/>
    <w:basedOn w:val="Style15"/>
    <w:qFormat/>
    <w:pPr/>
    <w:rPr>
      <w:color w:val="1F4D78"/>
    </w:rPr>
  </w:style>
  <w:style w:type="character" w:styleId="Style8">
    <w:name w:val="Hyperlink"/>
    <w:uiPriority w:val="99"/>
    <w:unhideWhenUsed/>
    <w:rPr>
      <w:color w:val="0563C1"/>
      <w:u w:val="single"/>
    </w:rPr>
  </w:style>
  <w:style w:type="character" w:styleId="Style9">
    <w:name w:val="Символ сноски"/>
    <w:uiPriority w:val="99"/>
    <w:semiHidden/>
    <w:unhideWhenUsed/>
    <w:qFormat/>
    <w:rPr>
      <w:vertAlign w:val="superscript"/>
    </w:rPr>
  </w:style>
  <w:style w:type="character" w:styleId="Style10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qFormat/>
    <w:rPr>
      <w:sz w:val="20"/>
      <w:szCs w:val="20"/>
    </w:rPr>
  </w:style>
  <w:style w:type="character" w:styleId="Style1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Style12">
    <w:name w:val="Endnote Reference"/>
    <w:rPr>
      <w:vertAlign w:val="superscript"/>
    </w:rPr>
  </w:style>
  <w:style w:type="character" w:styleId="EndnoteTextChar">
    <w:name w:val="Endnote Text Char"/>
    <w:uiPriority w:val="99"/>
    <w:semiHidden/>
    <w:unhideWhenUsed/>
    <w:qFormat/>
    <w:rPr>
      <w:sz w:val="20"/>
      <w:szCs w:val="20"/>
    </w:rPr>
  </w:style>
  <w:style w:type="character" w:styleId="Style13">
    <w:name w:val="Символ нумерации"/>
    <w:qFormat/>
    <w:rPr/>
  </w:style>
  <w:style w:type="character" w:styleId="Style14">
    <w:name w:val="Маркеры"/>
    <w:qFormat/>
    <w:rPr>
      <w:rFonts w:ascii="OpenSymbol" w:hAnsi="OpenSymbol" w:eastAsia="OpenSymbol" w:cs="OpenSymbol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Style20">
    <w:name w:val="Title"/>
    <w:basedOn w:val="Style15"/>
    <w:qFormat/>
    <w:pPr/>
    <w:rPr>
      <w:sz w:val="56"/>
      <w:szCs w:val="56"/>
    </w:rPr>
  </w:style>
  <w:style w:type="paragraph" w:styleId="Strong">
    <w:name w:val="Strong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b/>
      <w:bCs/>
      <w:color w:val="auto"/>
      <w:kern w:val="0"/>
      <w:sz w:val="20"/>
      <w:szCs w:val="20"/>
      <w:lang w:val="ru-RU" w:eastAsia="zh-CN" w:bidi="hi-IN"/>
    </w:rPr>
  </w:style>
  <w:style w:type="paragraph" w:styleId="ListParagraph">
    <w:name w:val="List Paragraph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0"/>
      <w:szCs w:val="20"/>
      <w:lang w:val="ru-RU" w:eastAsia="zh-CN" w:bidi="hi-IN"/>
    </w:rPr>
  </w:style>
  <w:style w:type="paragraph" w:styleId="Style21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Style22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Style23"/>
    <w:pPr/>
    <w:rPr/>
  </w:style>
  <w:style w:type="paragraph" w:styleId="Style25">
    <w:name w:val="Footer"/>
    <w:basedOn w:val="Style23"/>
    <w:pPr/>
    <w:rPr/>
  </w:style>
  <w:style w:type="paragraph" w:styleId="Style26">
    <w:name w:val="Содержимое таблицы"/>
    <w:basedOn w:val="Normal"/>
    <w:qFormat/>
    <w:pPr>
      <w:widowControl w:val="false"/>
      <w:suppressLineNumbers/>
    </w:pPr>
    <w:rPr/>
  </w:style>
  <w:style w:type="paragraph" w:styleId="Style27">
    <w:name w:val="Содержимое врезки"/>
    <w:basedOn w:val="Normal"/>
    <w:qFormat/>
    <w:pPr/>
    <w:rPr/>
  </w:style>
  <w:style w:type="paragraph" w:styleId="Style28">
    <w:name w:val="Заголовок таблицы"/>
    <w:basedOn w:val="Style26"/>
    <w:qFormat/>
    <w:pPr>
      <w:suppressLineNumbers/>
      <w:jc w:val="center"/>
    </w:pPr>
    <w:rPr>
      <w:b/>
      <w:bCs/>
    </w:rPr>
  </w:style>
  <w:style w:type="paragraph" w:styleId="ListBullet">
    <w:name w:val="List Bullet"/>
    <w:basedOn w:val="Normal"/>
    <w:qFormat/>
    <w:pPr>
      <w:numPr>
        <w:ilvl w:val="0"/>
        <w:numId w:val="1"/>
      </w:numPr>
      <w:spacing w:before="0" w:after="100"/>
      <w:contextualSpacing/>
    </w:pPr>
    <w:rPr/>
  </w:style>
  <w:style w:type="numbering" w:styleId="123">
    <w:name w:val="Нумерованный 123"/>
    <w:qFormat/>
  </w:style>
  <w:style w:type="numbering" w:styleId="Style29">
    <w:name w:val="Маркированный •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949</TotalTime>
  <Application>LibreOffice/7.4.4.2$Windows_X86_64 LibreOffice_project/85569322deea74ec9134968a29af2df5663baa21</Application>
  <AppVersion>15.0000</AppVersion>
  <Pages>2</Pages>
  <Words>651</Words>
  <Characters>4109</Characters>
  <CharactersWithSpaces>4704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2026-09-26T15:03:28Z</dcterms:created>
  <dc:creator>АВТОР · концепт</dc:creator>
  <dc:description/>
  <dc:language>ru-RU</dc:language>
  <cp:lastModifiedBy/>
  <dcterms:modified xsi:type="dcterms:W3CDTF">2026-10-17T12:23:18Z</dcterms:modified>
  <cp:revision>53</cp:revision>
  <dc:subject/>
  <dc:title>Условия оплаты, гарантий и возвратов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