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28"/>
        <w:rPr>
          <w:rFonts w:ascii="Montserrat" w:hAnsi="Montserrat"/>
          <w:b/>
          <w:b/>
          <w:color w:val="000000"/>
          <w:shd w:fill="auto" w:val="clear"/>
        </w:rPr>
      </w:pPr>
      <w:r>
        <w:rPr>
          <w:b/>
          <w:color w:val="000000"/>
          <w:sz w:val="24"/>
          <w:szCs w:val="24"/>
          <w:shd w:fill="auto" w:val="clear"/>
        </w:rPr>
        <w:t xml:space="preserve">Публичная оферта</w:t>
      </w:r>
    </w:p>
    <w:p>
      <w:pPr>
        <w:pStyle w:val="Normal"/>
        <w:spacing w:before="0" w:after="283"/>
        <w:rPr>
          <w:rFonts w:ascii="Montserrat" w:hAnsi="Montserrat"/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о выполнении работ и оказании услуг сайта «АВТОР · концепт»</w:t>
      </w:r>
    </w:p>
    <w:p>
      <w:pPr>
        <w:pStyle w:val="Normal"/>
        <w:widowControl/>
        <w:suppressAutoHyphens w:val="true"/>
        <w:bidi w:val="0"/>
        <w:spacing w:lineRule="exact" w:line="227" w:before="0" w:after="85"/>
        <w:ind w:left="0" w:right="57" w:hanging="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Настоящий документ является публичной офертой Индивидуальный предприниматель Борисова Анна Алексеевна (далее — Исполнитель) в адрес неограниченного круга лиц (далее — Заказчик) в соответствии со статьями 435 и 437 Гражданского кодекса Российской Федерации и содержит условия выполнения работ и оказания услуг по изготовлению мебели на заказ, дизайну интерьера, ремонту и хоумстейджингу.</w:t>
      </w:r>
    </w:p>
    <w:p>
      <w:pPr>
        <w:pStyle w:val="1"/>
        <w:numPr>
          <w:ilvl w:val="0"/>
          <w:numId w:val="2"/>
        </w:numPr>
        <w:spacing w:before="227" w:after="57"/>
        <w:ind w:left="0" w:right="567" w:hanging="0"/>
        <w:rPr>
          <w:rFonts w:ascii="Montserrat" w:hAnsi="Montserrat"/>
          <w:color w:val="000000"/>
          <w:sz w:val="24"/>
          <w:szCs w:val="24"/>
          <w:shd w:fill="auto" w:val="clear"/>
        </w:rPr>
      </w:pPr>
      <w:r>
        <w:rPr>
          <w:rFonts w:ascii="Montserrat" w:hAnsi="Montserrat"/>
          <w:color w:val="000000"/>
          <w:sz w:val="24"/>
          <w:szCs w:val="24"/>
          <w:shd w:fill="auto" w:val="clear"/>
        </w:rPr>
        <w:t xml:space="preserve">Предмет оферты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Исполнитель обязуется по заданию Заказчика выполнить работы и оказать услуги в объёме, определённом Спецификацией (сметой) к настоящей оферте, а Заказчик обязуется принять результат и оплатить его. К работам и услугам относятся:</w:t>
      </w:r>
    </w:p>
    <w:p>
      <w:pPr>
        <w:pStyle w:val="ListBullet"/>
        <w:widowControl/>
        <w:numPr>
          <w:ilvl w:val="2"/>
          <w:numId w:val="2"/>
        </w:numPr>
        <w:tabs>
          <w:tab w:val="clear" w:pos="720"/>
          <w:tab w:val="left" w:pos="450" w:leader="none"/>
        </w:tabs>
        <w:suppressAutoHyphens w:val="true"/>
        <w:bidi w:val="0"/>
        <w:spacing w:lineRule="exact" w:line="227" w:before="0" w:after="85"/>
        <w:ind w:left="454" w:right="0" w:hanging="170"/>
        <w:contextualSpacing w:val="false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изготовление мебели на заказ: замер, проектирование, изготовление, доставка и монтаж;</w:t>
      </w:r>
    </w:p>
    <w:p>
      <w:pPr>
        <w:pStyle w:val="ListBullet"/>
        <w:widowControl/>
        <w:numPr>
          <w:ilvl w:val="2"/>
          <w:numId w:val="2"/>
        </w:numPr>
        <w:tabs>
          <w:tab w:val="clear" w:pos="720"/>
          <w:tab w:val="left" w:pos="450" w:leader="none"/>
        </w:tabs>
        <w:suppressAutoHyphens w:val="true"/>
        <w:bidi w:val="0"/>
        <w:spacing w:lineRule="exact" w:line="227" w:before="0" w:after="85"/>
        <w:ind w:left="454" w:right="0" w:hanging="170"/>
        <w:contextualSpacing w:val="false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дизайн интерьера: концепция, планировочное решение, 3D-визуализация, рабочий альбом чертежей, ведомости отделки, мебели и света;</w:t>
      </w:r>
    </w:p>
    <w:p>
      <w:pPr>
        <w:pStyle w:val="ListBullet"/>
        <w:widowControl/>
        <w:numPr>
          <w:ilvl w:val="2"/>
          <w:numId w:val="2"/>
        </w:numPr>
        <w:tabs>
          <w:tab w:val="clear" w:pos="720"/>
          <w:tab w:val="left" w:pos="450" w:leader="none"/>
        </w:tabs>
        <w:suppressAutoHyphens w:val="true"/>
        <w:bidi w:val="0"/>
        <w:spacing w:lineRule="exact" w:line="227" w:before="0" w:after="85"/>
        <w:ind w:left="454" w:right="0" w:hanging="170"/>
        <w:contextualSpacing w:val="false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ремонт и комплектация: демонтаж, черновые работы, инженерия, чистовая отделка, подбор, поставка и расстановка мебели, текстиля, света и предметов;</w:t>
      </w:r>
    </w:p>
    <w:p>
      <w:pPr>
        <w:pStyle w:val="ListBullet"/>
        <w:widowControl/>
        <w:numPr>
          <w:ilvl w:val="2"/>
          <w:numId w:val="2"/>
        </w:numPr>
        <w:tabs>
          <w:tab w:val="clear" w:pos="720"/>
          <w:tab w:val="left" w:pos="450" w:leader="none"/>
        </w:tabs>
        <w:suppressAutoHyphens w:val="true"/>
        <w:bidi w:val="0"/>
        <w:spacing w:lineRule="exact" w:line="227" w:before="0" w:after="85"/>
        <w:ind w:left="454" w:right="0" w:hanging="170"/>
        <w:contextualSpacing w:val="false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хоумстейджинг: подбор и сборка финального слоя пространства (текстиль, свет, предметы, графика);</w:t>
      </w:r>
    </w:p>
    <w:p>
      <w:pPr>
        <w:pStyle w:val="ListBullet"/>
        <w:widowControl/>
        <w:numPr>
          <w:ilvl w:val="2"/>
          <w:numId w:val="2"/>
        </w:numPr>
        <w:tabs>
          <w:tab w:val="clear" w:pos="720"/>
          <w:tab w:val="left" w:pos="450" w:leader="none"/>
        </w:tabs>
        <w:suppressAutoHyphens w:val="true"/>
        <w:bidi w:val="0"/>
        <w:spacing w:lineRule="exact" w:line="227" w:before="0" w:after="85"/>
        <w:ind w:left="454" w:right="0" w:hanging="170"/>
        <w:contextualSpacing w:val="false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цифровое сопровождение проекта: график этапов, ведомости, фотоотчёты, документы и согласования в личном кабинете (при его предоставлении Заказчику).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Вид, размеры, материалы, объём работ, цена и сроки определяются Спецификацией (сметой), составляемой после замера и согласования проекта. В зависимости от предмета договор является договором подряда либо бытового подряда (ст. 702, 730 ГК РФ).</w:t>
      </w:r>
    </w:p>
    <w:p>
      <w:pPr>
        <w:pStyle w:val="1"/>
        <w:numPr>
          <w:ilvl w:val="0"/>
          <w:numId w:val="2"/>
        </w:numPr>
        <w:spacing w:before="227" w:after="57"/>
        <w:ind w:left="0" w:right="567" w:hanging="0"/>
        <w:rPr>
          <w:rFonts w:ascii="Montserrat" w:hAnsi="Montserrat"/>
          <w:color w:val="000000"/>
          <w:sz w:val="24"/>
          <w:szCs w:val="24"/>
          <w:shd w:fill="auto" w:val="clear"/>
        </w:rPr>
      </w:pPr>
      <w:r>
        <w:rPr>
          <w:rFonts w:ascii="Montserrat" w:hAnsi="Montserrat"/>
          <w:color w:val="000000"/>
          <w:sz w:val="24"/>
          <w:szCs w:val="24"/>
          <w:shd w:fill="auto" w:val="clear"/>
        </w:rPr>
        <w:t xml:space="preserve">Порядок и способ акцепта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Оферта считается акцептованной с момента подписания Заказчиком Спецификации (сметы) — в том числе путём электронного подтверждения в мессенджере или по электронной почте с указанного Заказчиком контакта — либо с момента оплаты аванса по Спецификации, если иное не согласовано сторонами. Акцепт означает полное и безоговорочное согласие Заказчика со всеми условиями оферты.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Заявка на Сайте и предварительные консультации акцептом не являются. Порядок и стоимость предварительных этапов (замер, проект, смета) определяются в Спецификации.</w:t>
      </w:r>
    </w:p>
    <w:p>
      <w:pPr>
        <w:pStyle w:val="1"/>
        <w:numPr>
          <w:ilvl w:val="0"/>
          <w:numId w:val="2"/>
        </w:numPr>
        <w:spacing w:before="227" w:after="57"/>
        <w:ind w:left="0" w:right="567" w:hanging="0"/>
        <w:rPr>
          <w:rFonts w:ascii="Montserrat" w:hAnsi="Montserrat"/>
          <w:color w:val="000000"/>
          <w:sz w:val="24"/>
          <w:szCs w:val="24"/>
          <w:shd w:fill="auto" w:val="clear"/>
        </w:rPr>
      </w:pPr>
      <w:r>
        <w:rPr>
          <w:rFonts w:ascii="Montserrat" w:hAnsi="Montserrat"/>
          <w:color w:val="000000"/>
          <w:sz w:val="24"/>
          <w:szCs w:val="24"/>
          <w:shd w:fill="auto" w:val="clear"/>
        </w:rPr>
        <w:t xml:space="preserve">Порядок выполнения работ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Работы выполняются поэтапно: замер на объекте и согласование задания; проект (планировочное решение, 3D-модель, смета, согласование материалов и фурнитуры); изготовление изделий и (или) выполнение ремонтных работ; доставка, монтаж и сдача результата.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Ориентировочный срок изготовления мебели — от 21 до 45 календарных дней с момента утверждения проекта и поступления аванса; точные сроки указываются в Спецификации. Срок ремонтных работ определяется сметой и графиком этапов. Исполнитель направляет Заказчику фотоотчёты о ходе ремонтных работ.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Сроки могут быть продлены на период, в течение которого Заказчик не предоставил доступ на объект, не согласовал проект или материалы, не внёс очередной платёж либо изменил задание.</w:t>
      </w:r>
    </w:p>
    <w:p>
      <w:pPr>
        <w:pStyle w:val="1"/>
        <w:numPr>
          <w:ilvl w:val="0"/>
          <w:numId w:val="2"/>
        </w:numPr>
        <w:spacing w:before="227" w:after="57"/>
        <w:ind w:left="0" w:right="567" w:hanging="0"/>
        <w:rPr>
          <w:rFonts w:ascii="Montserrat" w:hAnsi="Montserrat"/>
          <w:color w:val="000000"/>
          <w:sz w:val="24"/>
          <w:szCs w:val="24"/>
          <w:shd w:fill="auto" w:val="clear"/>
        </w:rPr>
      </w:pPr>
      <w:r>
        <w:rPr>
          <w:rFonts w:ascii="Montserrat" w:hAnsi="Montserrat"/>
          <w:color w:val="000000"/>
          <w:sz w:val="24"/>
          <w:szCs w:val="24"/>
          <w:shd w:fill="auto" w:val="clear"/>
        </w:rPr>
        <w:t xml:space="preserve">Права и обязанности сторон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Исполнитель обязан:</w:t>
      </w:r>
    </w:p>
    <w:p>
      <w:pPr>
        <w:pStyle w:val="ListBullet"/>
        <w:widowControl/>
        <w:numPr>
          <w:ilvl w:val="2"/>
          <w:numId w:val="2"/>
        </w:numPr>
        <w:tabs>
          <w:tab w:val="clear" w:pos="720"/>
          <w:tab w:val="left" w:pos="450" w:leader="none"/>
        </w:tabs>
        <w:suppressAutoHyphens w:val="true"/>
        <w:bidi w:val="0"/>
        <w:spacing w:lineRule="exact" w:line="227" w:before="0" w:after="85"/>
        <w:ind w:left="454" w:right="0" w:hanging="170"/>
        <w:contextualSpacing w:val="false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выполнить работы в согласованные сроки и с надлежащим качеством;</w:t>
      </w:r>
    </w:p>
    <w:p>
      <w:pPr>
        <w:pStyle w:val="ListBullet"/>
        <w:widowControl/>
        <w:numPr>
          <w:ilvl w:val="2"/>
          <w:numId w:val="2"/>
        </w:numPr>
        <w:tabs>
          <w:tab w:val="clear" w:pos="720"/>
          <w:tab w:val="left" w:pos="450" w:leader="none"/>
        </w:tabs>
        <w:suppressAutoHyphens w:val="true"/>
        <w:bidi w:val="0"/>
        <w:spacing w:lineRule="exact" w:line="227" w:before="0" w:after="85"/>
        <w:ind w:left="454" w:right="0" w:hanging="170"/>
        <w:contextualSpacing w:val="false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информировать Заказчика о ходе выполнения работ и обо всех обстоятельствах, влияющих на сроки или стоимость;</w:t>
      </w:r>
    </w:p>
    <w:p>
      <w:pPr>
        <w:pStyle w:val="ListBullet"/>
        <w:widowControl/>
        <w:numPr>
          <w:ilvl w:val="2"/>
          <w:numId w:val="2"/>
        </w:numPr>
        <w:tabs>
          <w:tab w:val="clear" w:pos="720"/>
          <w:tab w:val="left" w:pos="450" w:leader="none"/>
        </w:tabs>
        <w:suppressAutoHyphens w:val="true"/>
        <w:bidi w:val="0"/>
        <w:spacing w:lineRule="exact" w:line="227" w:before="0" w:after="85"/>
        <w:ind w:left="454" w:right="0" w:hanging="170"/>
        <w:contextualSpacing w:val="false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передать результат по акту и устранить выявленные недостатки в порядке, предусмотренном законом и Условиями оплаты, гарантий и возвратов.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Заказчик обязан:</w:t>
      </w:r>
    </w:p>
    <w:p>
      <w:pPr>
        <w:pStyle w:val="ListBullet"/>
        <w:widowControl/>
        <w:numPr>
          <w:ilvl w:val="2"/>
          <w:numId w:val="2"/>
        </w:numPr>
        <w:tabs>
          <w:tab w:val="clear" w:pos="720"/>
          <w:tab w:val="left" w:pos="450" w:leader="none"/>
        </w:tabs>
        <w:suppressAutoHyphens w:val="true"/>
        <w:bidi w:val="0"/>
        <w:spacing w:lineRule="exact" w:line="227" w:before="0" w:after="85"/>
        <w:ind w:left="454" w:right="0" w:hanging="170"/>
        <w:contextualSpacing w:val="false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предоставлять достоверные данные и своевременно согласовывать проект, смету и материалы;</w:t>
      </w:r>
    </w:p>
    <w:p>
      <w:pPr>
        <w:pStyle w:val="ListBullet"/>
        <w:widowControl/>
        <w:numPr>
          <w:ilvl w:val="2"/>
          <w:numId w:val="2"/>
        </w:numPr>
        <w:tabs>
          <w:tab w:val="clear" w:pos="720"/>
          <w:tab w:val="left" w:pos="450" w:leader="none"/>
        </w:tabs>
        <w:suppressAutoHyphens w:val="true"/>
        <w:bidi w:val="0"/>
        <w:spacing w:lineRule="exact" w:line="227" w:before="0" w:after="85"/>
        <w:ind w:left="454" w:right="0" w:hanging="170"/>
        <w:contextualSpacing w:val="false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обеспечить доступ на объект и готовность помещения к замеру, монтажу и ремонту;</w:t>
      </w:r>
    </w:p>
    <w:p>
      <w:pPr>
        <w:pStyle w:val="ListBullet"/>
        <w:widowControl/>
        <w:numPr>
          <w:ilvl w:val="2"/>
          <w:numId w:val="2"/>
        </w:numPr>
        <w:tabs>
          <w:tab w:val="clear" w:pos="720"/>
          <w:tab w:val="left" w:pos="450" w:leader="none"/>
        </w:tabs>
        <w:suppressAutoHyphens w:val="true"/>
        <w:bidi w:val="0"/>
        <w:spacing w:lineRule="exact" w:line="227" w:before="0" w:after="85"/>
        <w:ind w:left="454" w:right="0" w:hanging="170"/>
        <w:contextualSpacing w:val="false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принять результат работ и оплатить его в порядке, установленном Спецификацией и Условиями оплаты, гарантий и возвратов.</w:t>
      </w:r>
    </w:p>
    <w:p>
      <w:pPr>
        <w:pStyle w:val="1"/>
        <w:numPr>
          <w:ilvl w:val="0"/>
          <w:numId w:val="2"/>
        </w:numPr>
        <w:spacing w:before="227" w:after="57"/>
        <w:ind w:left="0" w:right="567" w:hanging="0"/>
        <w:rPr>
          <w:rFonts w:ascii="Montserrat" w:hAnsi="Montserrat"/>
          <w:color w:val="000000"/>
          <w:sz w:val="24"/>
          <w:szCs w:val="24"/>
          <w:shd w:fill="auto" w:val="clear"/>
        </w:rPr>
      </w:pPr>
      <w:r>
        <w:rPr>
          <w:rFonts w:ascii="Montserrat" w:hAnsi="Montserrat"/>
          <w:color w:val="000000"/>
          <w:sz w:val="24"/>
          <w:szCs w:val="24"/>
          <w:shd w:fill="auto" w:val="clear"/>
        </w:rPr>
        <w:t xml:space="preserve">Стоимость и порядок оплаты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Цена работ и услуг определяется Спецификацией (сметой). Оплата производится авансом и (или) поэтапно в порядке, указанном в Спецификации, в соответствии с документом «Условия оплаты, гарантий и возвратов».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Изменение проекта, материалов или объёма работ по инициативе Заказчика после утверждения Спецификации оформляется дополнительным соглашением и может повлечь изменение цены и сроков.</w:t>
      </w:r>
    </w:p>
    <w:p>
      <w:pPr>
        <w:pStyle w:val="1"/>
        <w:numPr>
          <w:ilvl w:val="0"/>
          <w:numId w:val="2"/>
        </w:numPr>
        <w:spacing w:before="227" w:after="57"/>
        <w:ind w:left="0" w:right="567" w:hanging="0"/>
        <w:rPr>
          <w:rFonts w:ascii="Montserrat" w:hAnsi="Montserrat"/>
          <w:color w:val="000000"/>
          <w:sz w:val="24"/>
          <w:szCs w:val="24"/>
          <w:shd w:fill="auto" w:val="clear"/>
        </w:rPr>
      </w:pPr>
      <w:r>
        <w:rPr>
          <w:rFonts w:ascii="Montserrat" w:hAnsi="Montserrat"/>
          <w:color w:val="000000"/>
          <w:sz w:val="24"/>
          <w:szCs w:val="24"/>
          <w:shd w:fill="auto" w:val="clear"/>
        </w:rPr>
        <w:t xml:space="preserve">Приёмка результата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Результат работ (изделие, этап ремонта, комплектация) принимается Заказчиком по акту. Недостатки, обнаруженные при приёмке, фиксируются в акте, и Исполнитель устраняет их в согласованный срок.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Если Заказчик, уведомлённый о готовности результата, в течение 5 (пяти) рабочих дней не принял его и не направил мотивированных возражений, Исполнитель вправе составить акт в одностороннем порядке; это не лишает Заказчика-потребителя прав в отношении недостатков, предусмотренных законом.</w:t>
      </w:r>
    </w:p>
    <w:p>
      <w:pPr>
        <w:pStyle w:val="1"/>
        <w:numPr>
          <w:ilvl w:val="0"/>
          <w:numId w:val="2"/>
        </w:numPr>
        <w:spacing w:before="227" w:after="57"/>
        <w:ind w:left="0" w:right="567" w:hanging="0"/>
        <w:rPr>
          <w:rFonts w:ascii="Montserrat" w:hAnsi="Montserrat"/>
          <w:color w:val="000000"/>
          <w:sz w:val="24"/>
          <w:szCs w:val="24"/>
          <w:shd w:fill="auto" w:val="clear"/>
        </w:rPr>
      </w:pPr>
      <w:r>
        <w:rPr>
          <w:rFonts w:ascii="Montserrat" w:hAnsi="Montserrat"/>
          <w:color w:val="000000"/>
          <w:sz w:val="24"/>
          <w:szCs w:val="24"/>
          <w:shd w:fill="auto" w:val="clear"/>
        </w:rPr>
        <w:t xml:space="preserve">Гарантия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Гарантийный срок на корпус мебели — 5 (пять) лет, на фурнитуру — 2 (два) года с даты подписания акта. Гарантийный срок на ремонтные и отделочные работы указывается в Спецификации (акте); если он не указан, действует срок, установленный законом. Условия и порядок обращения по гарантии определены документом «Условия оплаты, гарантий и возвратов».</w:t>
      </w:r>
    </w:p>
    <w:p>
      <w:pPr>
        <w:pStyle w:val="1"/>
        <w:numPr>
          <w:ilvl w:val="0"/>
          <w:numId w:val="2"/>
        </w:numPr>
        <w:spacing w:before="227" w:after="57"/>
        <w:ind w:left="0" w:right="567" w:hanging="0"/>
        <w:rPr>
          <w:rFonts w:ascii="Montserrat" w:hAnsi="Montserrat"/>
          <w:color w:val="000000"/>
          <w:sz w:val="24"/>
          <w:szCs w:val="24"/>
          <w:shd w:fill="auto" w:val="clear"/>
        </w:rPr>
      </w:pPr>
      <w:r>
        <w:rPr>
          <w:rFonts w:ascii="Montserrat" w:hAnsi="Montserrat"/>
          <w:color w:val="000000"/>
          <w:sz w:val="24"/>
          <w:szCs w:val="24"/>
          <w:shd w:fill="auto" w:val="clear"/>
        </w:rPr>
        <w:t xml:space="preserve">Отказ от исполнения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Заказчик вправе отказаться от исполнения договора в любое время, оплатив Исполнителю фактически понесённые расходы и стоимость выполненной части работ (ст. 717, 782 ГК РФ; ст. 32 Закона РФ «О защите прав потребителей»). Порядок расчёта и возврата определяется Условиями оплаты, гарантий и возвратов.</w:t>
      </w:r>
    </w:p>
    <w:p>
      <w:pPr>
        <w:pStyle w:val="1"/>
        <w:numPr>
          <w:ilvl w:val="0"/>
          <w:numId w:val="2"/>
        </w:numPr>
        <w:spacing w:before="227" w:after="57"/>
        <w:ind w:left="0" w:right="567" w:hanging="0"/>
        <w:rPr>
          <w:rFonts w:ascii="Montserrat" w:hAnsi="Montserrat"/>
          <w:color w:val="000000"/>
          <w:sz w:val="24"/>
          <w:szCs w:val="24"/>
          <w:shd w:fill="auto" w:val="clear"/>
        </w:rPr>
      </w:pPr>
      <w:r>
        <w:rPr>
          <w:rFonts w:ascii="Montserrat" w:hAnsi="Montserrat"/>
          <w:color w:val="000000"/>
          <w:sz w:val="24"/>
          <w:szCs w:val="24"/>
          <w:shd w:fill="auto" w:val="clear"/>
        </w:rPr>
        <w:t xml:space="preserve">Ограничение ответственности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За просрочку выполнения работ и иные нарушения Исполнитель отвечает в порядке, установленном законом; в отношении потребителей — в том числе по ст. 28 Закона РФ «О защите прав потребителей». Для Заказчиков-предпринимателей совокупная ответственность Исполнителя по договору ограничена стоимостью соответствующих работ, если иное не предусмотрено законом.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Исполнитель не отвечает за недостатки, возникшие вследствие нарушения Заказчиком правил эксплуатации, действий третьих лиц, естественного износа, а также за недостатки материалов и решений, предоставленных или настоятельно выбранных Заказчиком вопреки предупреждению Исполнителя.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Цифровые сервисы сопровождения проекта предоставляются в состоянии «как есть»; Исполнитель не гарантирует их бесперебойную работу. Эти условия не ограничивают права потребителя, установленные законом.</w:t>
      </w:r>
    </w:p>
    <w:p>
      <w:pPr>
        <w:pStyle w:val="1"/>
        <w:numPr>
          <w:ilvl w:val="0"/>
          <w:numId w:val="2"/>
        </w:numPr>
        <w:spacing w:before="227" w:after="57"/>
        <w:ind w:left="0" w:right="567" w:hanging="0"/>
        <w:rPr>
          <w:rFonts w:ascii="Montserrat" w:hAnsi="Montserrat"/>
          <w:color w:val="000000"/>
          <w:sz w:val="24"/>
          <w:szCs w:val="24"/>
          <w:shd w:fill="auto" w:val="clear"/>
        </w:rPr>
      </w:pPr>
      <w:r>
        <w:rPr>
          <w:rFonts w:ascii="Montserrat" w:hAnsi="Montserrat"/>
          <w:color w:val="000000"/>
          <w:sz w:val="24"/>
          <w:szCs w:val="24"/>
          <w:shd w:fill="auto" w:val="clear"/>
        </w:rPr>
        <w:t xml:space="preserve">Обстоятельства непреодолимой силы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Стороны освобождаются от ответственности за неисполнение обязательств, если оно вызвано обстоятельствами непреодолимой силы: действиями органов государственной власти, авариями энергоснабжения, чрезвычайными ситуациями природного и техногенного характера, сбоями сетей связи и иными обстоятельствами, которые стороны не могли предвидеть и предотвратить.</w:t>
      </w:r>
    </w:p>
    <w:p>
      <w:pPr>
        <w:pStyle w:val="1"/>
        <w:numPr>
          <w:ilvl w:val="0"/>
          <w:numId w:val="2"/>
        </w:numPr>
        <w:spacing w:before="227" w:after="57"/>
        <w:ind w:left="0" w:right="567" w:hanging="0"/>
        <w:rPr>
          <w:rFonts w:ascii="Montserrat" w:hAnsi="Montserrat"/>
          <w:color w:val="000000"/>
          <w:sz w:val="24"/>
          <w:szCs w:val="24"/>
          <w:shd w:fill="auto" w:val="clear"/>
        </w:rPr>
      </w:pPr>
      <w:r>
        <w:rPr>
          <w:rFonts w:ascii="Montserrat" w:hAnsi="Montserrat"/>
          <w:color w:val="000000"/>
          <w:sz w:val="24"/>
          <w:szCs w:val="24"/>
          <w:shd w:fill="auto" w:val="clear"/>
        </w:rPr>
        <w:t xml:space="preserve">Персональные данные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Персональные данные Заказчика обрабатываются в порядке, определённом Политикой конфиденциальности и отдельным документом «Согласие на обработку персональных данных». Согласие на получение рекламных и информационных сообщений необязательно и не является условием заключения договора.</w:t>
      </w:r>
    </w:p>
    <w:p>
      <w:pPr>
        <w:pStyle w:val="1"/>
        <w:numPr>
          <w:ilvl w:val="0"/>
          <w:numId w:val="2"/>
        </w:numPr>
        <w:spacing w:before="227" w:after="57"/>
        <w:ind w:left="0" w:right="567" w:hanging="0"/>
        <w:rPr>
          <w:rFonts w:ascii="Montserrat" w:hAnsi="Montserrat"/>
          <w:color w:val="000000"/>
          <w:sz w:val="24"/>
          <w:szCs w:val="24"/>
          <w:shd w:fill="auto" w:val="clear"/>
        </w:rPr>
      </w:pPr>
      <w:r>
        <w:rPr>
          <w:rFonts w:ascii="Montserrat" w:hAnsi="Montserrat"/>
          <w:color w:val="000000"/>
          <w:sz w:val="24"/>
          <w:szCs w:val="24"/>
          <w:shd w:fill="auto" w:val="clear"/>
        </w:rPr>
        <w:t xml:space="preserve">Срок действия и изменение оферты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Оферта действует бессрочно с учётом права Исполнителя изменять её условия путём публикации новой редакции по постоянному адресу: https://avtor-concept.ru/legal/site/offer. К договорам, заключённым до публикации новой редакции, применяется редакция, действовавшая на момент акцепта.</w:t>
      </w:r>
    </w:p>
    <w:p>
      <w:pPr>
        <w:pStyle w:val="1"/>
        <w:numPr>
          <w:ilvl w:val="0"/>
          <w:numId w:val="2"/>
        </w:numPr>
        <w:spacing w:before="227" w:after="57"/>
        <w:ind w:left="0" w:right="567" w:hanging="0"/>
        <w:rPr>
          <w:rFonts w:ascii="Montserrat" w:hAnsi="Montserrat"/>
          <w:color w:val="000000"/>
          <w:sz w:val="24"/>
          <w:szCs w:val="24"/>
          <w:shd w:fill="auto" w:val="clear"/>
        </w:rPr>
      </w:pPr>
      <w:r>
        <w:rPr>
          <w:rFonts w:ascii="Montserrat" w:hAnsi="Montserrat"/>
          <w:color w:val="000000"/>
          <w:sz w:val="24"/>
          <w:szCs w:val="24"/>
          <w:shd w:fill="auto" w:val="clear"/>
        </w:rPr>
        <w:t xml:space="preserve">Разрешение споров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Споры разрешаются путём переговоров. Досудебный (претензионный) порядок обязателен: срок ответа на претензию — 30 (тридцать) календарных дней с момента получения, а для требований потребителей — сроки, установленные Законом РФ «О защите прав потребителей». При недостижении согласия спор передаётся в суд в соответствии с законодательством Российской Федерации по месту нахождения Исполнителя либо по правилам подсудности, установленным законодательством о защите прав потребителей.</w:t>
      </w:r>
    </w:p>
    <w:p>
      <w:pPr>
        <w:pStyle w:val="Normal"/>
        <w:widowControl/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10378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00"/>
        <w:gridCol w:w="4908"/>
        <w:gridCol w:w="570"/>
      </w:tblGrid>
      <w:tr>
        <w:trPr/>
        <w:tc>
          <w:tcPr>
            <w:tcW w:w="4900" w:type="dxa"/>
            <w:tcBorders>
              <w:bottom w:val="single" w:sz="6" w:space="0" w:color="A80F1D"/>
            </w:tcBorders>
            <w:vAlign w:val="bottom"/>
          </w:tcPr>
          <w:p>
            <w:pPr>
              <w:pStyle w:val="Normal"/>
              <w:widowControl w:val="false"/>
              <w:spacing w:before="0" w:after="0"/>
              <w:rPr>
                <w:b w:val="false"/>
                <w:b w:val="false"/>
                <w:bCs w:val="false"/>
                <w:spacing w:val="10"/>
              </w:rPr>
            </w:pPr>
            <w:r>
              <w:rPr>
                <w:b w:val="false"/>
                <w:bCs w:val="false"/>
                <w:spacing w:val="10"/>
              </w:rPr>
            </w:r>
          </w:p>
        </w:tc>
        <w:tc>
          <w:tcPr>
            <w:tcW w:w="4908" w:type="dxa"/>
            <w:tcBorders>
              <w:bottom w:val="single" w:sz="6" w:space="0" w:color="A80F1D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113" w:hanging="0"/>
              <w:jc w:val="right"/>
              <w:rPr>
                <w:rFonts w:ascii="Montserrat" w:hAnsi="Montserrat" w:eastAsia="Montserrat" w:cs="Montserrat"/>
                <w:b w:val="false"/>
                <w:b w:val="false"/>
                <w:bCs w:val="false"/>
                <w:color w:val="292929"/>
                <w:kern w:val="0"/>
                <w:sz w:val="21"/>
                <w:szCs w:val="21"/>
                <w:lang w:val="ru-RU" w:eastAsia="zh-CN" w:bidi="hi-IN"/>
              </w:rPr>
            </w:pPr>
            <w:r>
              <w:rPr>
                <w:rFonts w:eastAsia="Montserrat" w:cs="Montserrat"/>
                <w:b w:val="false"/>
                <w:bCs w:val="false"/>
                <w:color w:val="292929"/>
                <w:kern w:val="0"/>
                <w:sz w:val="21"/>
                <w:szCs w:val="21"/>
                <w:lang w:val="ru-RU" w:eastAsia="zh-CN" w:bidi="hi-IN"/>
              </w:rPr>
            </w:r>
          </w:p>
        </w:tc>
        <w:tc>
          <w:tcPr>
            <w:tcW w:w="570" w:type="dxa"/>
            <w:tcBorders>
              <w:bottom w:val="single" w:sz="6" w:space="0" w:color="A80F1D"/>
            </w:tcBorders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454" w:hanging="0"/>
              <w:jc w:val="right"/>
              <w:rPr>
                <w:rFonts w:ascii="Montserrat" w:hAnsi="Montserrat" w:eastAsia="Montserrat" w:cs="Montserrat"/>
                <w:b w:val="false"/>
                <w:b w:val="false"/>
                <w:bCs w:val="false"/>
                <w:color w:val="292929"/>
                <w:kern w:val="0"/>
                <w:sz w:val="21"/>
                <w:szCs w:val="21"/>
                <w:lang w:val="ru-RU" w:eastAsia="zh-CN" w:bidi="hi-IN"/>
              </w:rPr>
            </w:pPr>
            <w:r>
              <w:rPr>
                <w:rFonts w:eastAsia="Montserrat" w:cs="Montserrat"/>
                <w:b w:val="false"/>
                <w:bCs w:val="false"/>
                <w:color w:val="292929"/>
                <w:kern w:val="0"/>
                <w:sz w:val="21"/>
                <w:szCs w:val="21"/>
                <w:lang w:val="ru-RU" w:eastAsia="zh-CN" w:bidi="hi-IN"/>
              </w:rPr>
            </w:r>
          </w:p>
        </w:tc>
      </w:tr>
    </w:tbl>
    <w:p>
      <w:pPr>
        <w:pStyle w:val="1"/>
        <w:spacing w:before="227" w:after="57"/>
        <w:ind w:left="0" w:right="567" w:hanging="0"/>
        <w:rPr>
          <w:rFonts w:ascii="Montserrat" w:hAnsi="Montserrat"/>
          <w:color w:val="000000"/>
          <w:sz w:val="24"/>
          <w:szCs w:val="24"/>
          <w:shd w:fill="auto" w:val="clear"/>
        </w:rPr>
      </w:pPr>
      <w:r>
        <w:rPr>
          <w:rFonts w:ascii="Montserrat" w:hAnsi="Montserrat"/>
          <w:color w:val="000000"/>
          <w:sz w:val="24"/>
          <w:szCs w:val="24"/>
          <w:shd w:fill="auto" w:val="clear"/>
        </w:rPr>
        <w:t xml:space="preserve">Контактная информация</w:t>
      </w:r>
    </w:p>
    <w:tbl>
      <w:tblPr>
        <w:tblW w:w="5000" w:type="pct"/>
        <w:jc w:val="left"/>
        <w:tblInd w:w="0" w:type="dxa"/>
        <w:tblLayout w:type="fixed"/>
        <w:tblCellMar>
          <w:top w:w="120" w:type="dxa"/>
          <w:left w:w="0" w:type="dxa"/>
          <w:bottom w:w="160" w:type="dxa"/>
          <w:right w:w="200" w:type="dxa"/>
        </w:tblCellMar>
      </w:tblPr>
      <w:tblGrid>
        <w:gridCol w:w="3052"/>
        <w:gridCol w:w="1819"/>
        <w:gridCol w:w="1429"/>
        <w:gridCol w:w="3450"/>
      </w:tblGrid>
      <w:tr>
        <w:trPr/>
        <w:tc>
          <w:tcPr>
            <w:tcW w:w="9750" w:type="dxa"/>
            <w:gridSpan w:val="4"/>
            <w:tcBorders/>
          </w:tcPr>
          <w:p>
            <w:pPr>
              <w:pStyle w:val="Normal"/>
              <w:widowControl w:val="false"/>
              <w:pBdr>
                <w:bottom w:val="single" w:sz="2" w:space="4" w:color="D9D9D9"/>
              </w:pBdr>
              <w:spacing w:before="0" w:after="40"/>
              <w:rPr>
                <w:rFonts w:eastAsia="Montserrat" w:cs="Montserrat"/>
                <w:color w:val="8A8A8A"/>
                <w:spacing w:val="20"/>
                <w:sz w:val="16"/>
                <w:szCs w:val="16"/>
              </w:rPr>
            </w:pPr>
            <w:r>
              <w:rPr>
                <w:rFonts w:eastAsia="Montserrat" w:cs="Montserrat"/>
                <w:b w:val="false"/>
                <w:bCs w:val="false"/>
                <w:color w:val="8A8A8A"/>
                <w:spacing w:val="20"/>
                <w:sz w:val="16"/>
                <w:szCs w:val="16"/>
              </w:rPr>
              <w:t>ПОЛНОЕ НАИМЕНОВАНИЕ</w:t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rPr>
                <w:rFonts w:ascii="Montserrat" w:hAnsi="Montserrat" w:eastAsia="Montserrat" w:cs="Montserrat"/>
                <w:b w:val="false"/>
                <w:b w:val="false"/>
                <w:bCs w:val="false"/>
                <w:color w:val="292929"/>
                <w:spacing w:val="-6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Montserrat" w:cs="Montserrat"/>
                <w:b w:val="false"/>
                <w:bCs w:val="false"/>
                <w:color w:val="000000"/>
                <w:spacing w:val="-6"/>
                <w:kern w:val="0"/>
                <w:sz w:val="20"/>
                <w:szCs w:val="20"/>
                <w:shd w:fill="auto" w:val="clear"/>
                <w:lang w:val="ru-RU" w:eastAsia="zh-CN" w:bidi="hi-IN"/>
              </w:rPr>
              <w:t>Индивидуальный предприниматель Борисова Анна Алексеевна</w:t>
            </w:r>
          </w:p>
        </w:tc>
      </w:tr>
      <w:tr>
        <w:trPr/>
        <w:tc>
          <w:tcPr>
            <w:tcW w:w="9750" w:type="dxa"/>
            <w:gridSpan w:val="4"/>
            <w:tcBorders/>
          </w:tcPr>
          <w:p>
            <w:pPr>
              <w:pStyle w:val="Normal"/>
              <w:widowControl w:val="false"/>
              <w:pBdr>
                <w:bottom w:val="single" w:sz="2" w:space="4" w:color="D9D9D9"/>
              </w:pBdr>
              <w:spacing w:before="0" w:after="40"/>
              <w:rPr>
                <w:rFonts w:eastAsia="Montserrat" w:cs="Montserrat"/>
                <w:color w:val="8A8A8A"/>
                <w:spacing w:val="20"/>
                <w:sz w:val="16"/>
                <w:szCs w:val="16"/>
              </w:rPr>
            </w:pPr>
            <w:r>
              <w:rPr>
                <w:rFonts w:eastAsia="Montserrat" w:cs="Montserrat"/>
                <w:b w:val="false"/>
                <w:bCs w:val="false"/>
                <w:color w:val="8A8A8A"/>
                <w:spacing w:val="20"/>
                <w:sz w:val="16"/>
                <w:szCs w:val="16"/>
              </w:rPr>
              <w:t>МЕСТОНАХОЖДЕНИЕ</w:t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rPr>
                <w:rFonts w:ascii="Montserrat" w:hAnsi="Montserrat" w:eastAsia="Montserrat" w:cs="Montserrat"/>
                <w:b w:val="false"/>
                <w:b w:val="false"/>
                <w:bCs w:val="false"/>
                <w:color w:val="292929"/>
                <w:spacing w:val="-6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Montserrat" w:cs="Montserrat"/>
                <w:b w:val="false"/>
                <w:bCs w:val="false"/>
                <w:color w:val="000000"/>
                <w:spacing w:val="-6"/>
                <w:kern w:val="0"/>
                <w:sz w:val="20"/>
                <w:szCs w:val="20"/>
                <w:shd w:fill="auto" w:val="clear"/>
                <w:lang w:val="ru-RU" w:eastAsia="zh-CN" w:bidi="hi-IN"/>
              </w:rPr>
              <w:t xml:space="preserve">г. Москва. Полный адрес предоставляется по запросу с обоснованием цели обращения на почту info@avtor-concept.ru. Ответ направляется в течение 5 рабочих дней.</w:t>
            </w:r>
          </w:p>
        </w:tc>
      </w:tr>
      <w:tr>
        <w:trPr/>
        <w:tc>
          <w:tcPr>
            <w:tcW w:w="4871" w:type="dxa"/>
            <w:gridSpan w:val="2"/>
            <w:tcBorders/>
          </w:tcPr>
          <w:p>
            <w:pPr>
              <w:pStyle w:val="Normal"/>
              <w:widowControl w:val="false"/>
              <w:pBdr>
                <w:bottom w:val="single" w:sz="2" w:space="4" w:color="D9D9D9"/>
              </w:pBdr>
              <w:spacing w:before="0" w:after="40"/>
              <w:rPr>
                <w:rFonts w:eastAsia="Montserrat" w:cs="Montserrat"/>
                <w:color w:val="8A8A8A"/>
                <w:spacing w:val="20"/>
                <w:sz w:val="16"/>
                <w:szCs w:val="16"/>
              </w:rPr>
            </w:pPr>
            <w:r>
              <w:rPr>
                <w:rFonts w:eastAsia="Montserrat" w:cs="Montserrat"/>
                <w:b w:val="false"/>
                <w:bCs w:val="false"/>
                <w:color w:val="8A8A8A"/>
                <w:spacing w:val="20"/>
                <w:sz w:val="16"/>
                <w:szCs w:val="16"/>
              </w:rPr>
              <w:t>ИНН</w:t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rPr>
                <w:rFonts w:ascii="Montserrat" w:hAnsi="Montserrat" w:eastAsia="Montserrat" w:cs="Montserrat"/>
                <w:b w:val="false"/>
                <w:b w:val="false"/>
                <w:bCs w:val="false"/>
                <w:color w:val="292929"/>
                <w:spacing w:val="-6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Montserrat" w:cs="Montserrat"/>
                <w:b w:val="false"/>
                <w:bCs w:val="false"/>
                <w:color w:val="000000"/>
                <w:spacing w:val="-6"/>
                <w:kern w:val="0"/>
                <w:sz w:val="20"/>
                <w:szCs w:val="20"/>
                <w:shd w:fill="auto" w:val="clear"/>
                <w:lang w:val="ru-RU" w:eastAsia="zh-CN" w:bidi="hi-IN"/>
              </w:rPr>
              <w:t>772479493356</w:t>
            </w:r>
          </w:p>
        </w:tc>
        <w:tc>
          <w:tcPr>
            <w:tcW w:w="4879" w:type="dxa"/>
            <w:gridSpan w:val="2"/>
            <w:tcBorders/>
          </w:tcPr>
          <w:p>
            <w:pPr>
              <w:pStyle w:val="Normal"/>
              <w:widowControl w:val="false"/>
              <w:pBdr>
                <w:bottom w:val="single" w:sz="2" w:space="4" w:color="D9D9D9"/>
              </w:pBdr>
              <w:spacing w:before="0" w:after="40"/>
              <w:rPr>
                <w:rFonts w:eastAsia="Montserrat" w:cs="Montserrat"/>
                <w:color w:val="8A8A8A"/>
                <w:spacing w:val="20"/>
                <w:sz w:val="16"/>
                <w:szCs w:val="16"/>
              </w:rPr>
            </w:pPr>
            <w:r>
              <w:rPr>
                <w:rFonts w:eastAsia="Montserrat" w:cs="Montserrat"/>
                <w:b w:val="false"/>
                <w:bCs w:val="false"/>
                <w:color w:val="8A8A8A"/>
                <w:spacing w:val="20"/>
                <w:sz w:val="16"/>
                <w:szCs w:val="16"/>
              </w:rPr>
              <w:t>ОГРН</w:t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rPr>
                <w:rFonts w:ascii="Montserrat" w:hAnsi="Montserrat" w:eastAsia="Montserrat" w:cs="Montserrat"/>
                <w:b w:val="false"/>
                <w:b w:val="false"/>
                <w:bCs w:val="false"/>
                <w:color w:val="292929"/>
                <w:spacing w:val="-6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Montserrat" w:cs="Montserrat"/>
                <w:b w:val="false"/>
                <w:bCs w:val="false"/>
                <w:color w:val="000000"/>
                <w:spacing w:val="-6"/>
                <w:kern w:val="0"/>
                <w:sz w:val="20"/>
                <w:szCs w:val="20"/>
                <w:shd w:fill="auto" w:val="clear"/>
                <w:lang w:val="ru-RU" w:eastAsia="zh-CN" w:bidi="hi-IN"/>
              </w:rPr>
              <w:t>316774600207835   15.04.2016</w:t>
            </w:r>
          </w:p>
        </w:tc>
      </w:tr>
      <w:tr>
        <w:trPr/>
        <w:tc>
          <w:tcPr>
            <w:tcW w:w="3052" w:type="dxa"/>
            <w:tcBorders/>
          </w:tcPr>
          <w:p>
            <w:pPr>
              <w:pStyle w:val="Normal"/>
              <w:widowControl w:val="false"/>
              <w:pBdr>
                <w:bottom w:val="single" w:sz="2" w:space="4" w:color="D9D9D9"/>
              </w:pBdr>
              <w:spacing w:before="0" w:after="40"/>
              <w:rPr>
                <w:rFonts w:eastAsia="Montserrat" w:cs="Montserrat"/>
                <w:color w:val="8A8A8A"/>
                <w:spacing w:val="20"/>
                <w:sz w:val="16"/>
                <w:szCs w:val="16"/>
              </w:rPr>
            </w:pPr>
            <w:r>
              <w:rPr>
                <w:rFonts w:eastAsia="Montserrat" w:cs="Montserrat"/>
                <w:b w:val="false"/>
                <w:bCs w:val="false"/>
                <w:color w:val="8A8A8A"/>
                <w:spacing w:val="20"/>
                <w:sz w:val="16"/>
                <w:szCs w:val="16"/>
              </w:rPr>
              <w:t>САЙТ</w:t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rPr>
                <w:rFonts w:eastAsia="Montserrat" w:cs="Montserrat"/>
                <w:b w:val="false"/>
                <w:b w:val="false"/>
                <w:bCs w:val="false"/>
                <w:color w:val="000000"/>
                <w:spacing w:val="-6"/>
                <w:kern w:val="0"/>
                <w:shd w:fill="auto" w:val="clear"/>
                <w:lang w:val="ru-RU" w:eastAsia="zh-CN" w:bidi="hi-IN"/>
              </w:rPr>
            </w:pPr>
            <w:r>
              <w:rPr>
                <w:rFonts w:eastAsia="Montserrat" w:cs="Montserrat"/>
                <w:b w:val="false"/>
                <w:bCs w:val="false"/>
                <w:color w:val="000000"/>
                <w:spacing w:val="-6"/>
                <w:kern w:val="0"/>
                <w:sz w:val="18"/>
                <w:szCs w:val="18"/>
                <w:shd w:fill="auto" w:val="clear"/>
                <w:lang w:val="ru-RU" w:eastAsia="zh-CN" w:bidi="hi-IN"/>
              </w:rPr>
              <w:t>https://avtor-concept.ru</w:t>
            </w:r>
          </w:p>
        </w:tc>
        <w:tc>
          <w:tcPr>
            <w:tcW w:w="3248" w:type="dxa"/>
            <w:gridSpan w:val="2"/>
            <w:tcBorders/>
          </w:tcPr>
          <w:p>
            <w:pPr>
              <w:pStyle w:val="Normal"/>
              <w:widowControl w:val="false"/>
              <w:pBdr>
                <w:bottom w:val="single" w:sz="2" w:space="4" w:color="D9D9D9"/>
              </w:pBdr>
              <w:spacing w:before="0" w:after="40"/>
              <w:rPr>
                <w:rFonts w:eastAsia="Montserrat" w:cs="Montserrat"/>
                <w:color w:val="8A8A8A"/>
                <w:spacing w:val="20"/>
                <w:sz w:val="16"/>
                <w:szCs w:val="16"/>
              </w:rPr>
            </w:pPr>
            <w:r>
              <w:rPr>
                <w:rFonts w:eastAsia="Montserrat" w:cs="Montserrat"/>
                <w:b w:val="false"/>
                <w:bCs w:val="false"/>
                <w:color w:val="8A8A8A"/>
                <w:spacing w:val="20"/>
                <w:sz w:val="16"/>
                <w:szCs w:val="16"/>
              </w:rPr>
              <w:t>E-MAIL</w:t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rPr>
                <w:rFonts w:eastAsia="Montserrat" w:cs="Montserrat"/>
                <w:b w:val="false"/>
                <w:b w:val="false"/>
                <w:bCs w:val="false"/>
                <w:color w:val="000000"/>
                <w:spacing w:val="-6"/>
                <w:kern w:val="0"/>
                <w:shd w:fill="auto" w:val="clear"/>
                <w:lang w:val="ru-RU" w:eastAsia="zh-CN" w:bidi="hi-IN"/>
              </w:rPr>
            </w:pPr>
            <w:r>
              <w:rPr>
                <w:rFonts w:eastAsia="Montserrat" w:cs="Montserrat"/>
                <w:b w:val="false"/>
                <w:bCs w:val="false"/>
                <w:color w:val="000000"/>
                <w:spacing w:val="-6"/>
                <w:kern w:val="0"/>
                <w:sz w:val="18"/>
                <w:szCs w:val="18"/>
                <w:shd w:fill="auto" w:val="clear"/>
                <w:lang w:val="ru-RU" w:eastAsia="zh-CN" w:bidi="hi-IN"/>
              </w:rPr>
              <w:t>avtor-docinfo@yandex.ru</w:t>
            </w:r>
          </w:p>
        </w:tc>
        <w:tc>
          <w:tcPr>
            <w:tcW w:w="3450" w:type="dxa"/>
            <w:tcBorders/>
          </w:tcPr>
          <w:p>
            <w:pPr>
              <w:pStyle w:val="Normal"/>
              <w:widowControl w:val="false"/>
              <w:pBdr>
                <w:bottom w:val="single" w:sz="2" w:space="4" w:color="D9D9D9"/>
              </w:pBdr>
              <w:spacing w:before="0" w:after="40"/>
              <w:rPr>
                <w:rFonts w:eastAsia="Montserrat" w:cs="Montserrat"/>
                <w:color w:val="8A8A8A"/>
                <w:spacing w:val="20"/>
                <w:sz w:val="16"/>
                <w:szCs w:val="16"/>
              </w:rPr>
            </w:pPr>
            <w:r>
              <w:rPr>
                <w:rFonts w:eastAsia="Montserrat" w:cs="Montserrat"/>
                <w:b w:val="false"/>
                <w:bCs w:val="false"/>
                <w:color w:val="8A8A8A"/>
                <w:spacing w:val="20"/>
                <w:sz w:val="16"/>
                <w:szCs w:val="16"/>
              </w:rPr>
              <w:t>СРОК ОТВЕТА НА ОБРАЩЕНИЯ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160"/>
              <w:ind w:left="0" w:right="0" w:hanging="0"/>
              <w:jc w:val="left"/>
              <w:rPr>
                <w:rFonts w:ascii="Montserrat" w:hAnsi="Montserrat" w:eastAsia="Montserrat" w:cs="Montserrat"/>
                <w:b w:val="false"/>
                <w:b w:val="false"/>
                <w:bCs w:val="false"/>
                <w:color w:val="292929"/>
                <w:spacing w:val="-6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Montserrat" w:cs="Montserrat"/>
                <w:b w:val="false"/>
                <w:bCs w:val="false"/>
                <w:color w:val="000000"/>
                <w:spacing w:val="-6"/>
                <w:kern w:val="0"/>
                <w:sz w:val="18"/>
                <w:szCs w:val="18"/>
                <w:shd w:fill="auto" w:val="clear"/>
                <w:lang w:val="ru-RU" w:eastAsia="zh-CN" w:bidi="hi-IN"/>
              </w:rPr>
              <w:t>до 10 рабочих дней</w:t>
            </w:r>
            <w:r>
              <w:rPr>
                <w:rFonts w:eastAsia="Montserrat" w:cs="Montserrat"/>
                <w:b w:val="false"/>
                <w:bCs w:val="false"/>
                <w:color w:val="000000"/>
                <w:spacing w:val="-6"/>
                <w:kern w:val="0"/>
                <w:sz w:val="14"/>
                <w:szCs w:val="14"/>
                <w:shd w:fill="auto" w:val="clear"/>
                <w:lang w:val="ru-RU" w:eastAsia="zh-CN" w:bidi="hi-IN"/>
              </w:rPr>
              <w:t/>
            </w:r>
          </w:p>
        </w:tc>
      </w:tr>
    </w:tbl>
    <w:p>
      <w:pPr>
        <w:pStyle w:val="Normal"/>
        <w:widowControl/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/>
      </w:r>
    </w:p>
    <w:p>
      <w:pPr>
        <w:pStyle w:val="Normal"/>
        <w:widowControl/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/>
      </w:r>
    </w:p>
    <w:p>
      <w:pPr>
        <w:pStyle w:val="Normal"/>
        <w:widowControl/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/>
      </w:r>
    </w:p>
    <w:sectPr>
      <w:headerReference w:type="default" r:id="rId4"/>
      <w:footerReference w:type="default" r:id="rId5"/>
      <w:type w:val="nextPage"/>
      <w:pgSz w:w="11906" w:h="16838"/>
      <w:pgMar w:left="1162" w:right="994" w:gutter="0" w:header="736" w:top="1304" w:footer="454" w:bottom="1162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Montserrat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 w:val="false"/>
      <w:suppressAutoHyphens w:val="true"/>
      <w:bidi w:val="0"/>
      <w:spacing w:lineRule="auto" w:line="240" w:before="0" w:after="0"/>
      <w:ind w:left="0" w:right="0" w:hanging="0"/>
      <w:jc w:val="right"/>
      <w:rPr>
        <w:rFonts w:eastAsia="Montserrat" w:cs="Montserrat"/>
        <w:color w:val="8A8A8A"/>
        <w:spacing w:val="-6"/>
        <w:sz w:val="19"/>
        <w:szCs w:val="19"/>
      </w:rPr>
    </w:pPr>
    <w:r>
      <w:rPr>
        <w:rFonts w:eastAsia="Montserrat" w:cs="Montserrat"/>
        <w:color w:val="8A8A8A"/>
        <w:spacing w:val="-6"/>
        <w:sz w:val="19"/>
        <w:szCs w:val="19"/>
      </w:rPr>
      <w:t xml:space="preserve">страница </w:t>
    </w:r>
    <w:r>
      <w:rPr>
        <w:rFonts w:eastAsia="Montserrat" w:cs="Montserrat"/>
        <w:color w:val="8A8A8A"/>
        <w:spacing w:val="-6"/>
        <w:sz w:val="19"/>
        <w:szCs w:val="19"/>
      </w:rPr>
      <w:fldChar w:fldCharType="begin"/>
    </w:r>
    <w:r>
      <w:rPr>
        <w:sz w:val="19"/>
        <w:spacing w:val="-6"/>
        <w:szCs w:val="19"/>
        <w:rFonts w:eastAsia="Montserrat" w:cs="Montserrat"/>
        <w:color w:val="8A8A8A"/>
      </w:rPr>
      <w:instrText xml:space="preserve"> PAGE </w:instrText>
    </w:r>
    <w:r>
      <w:rPr>
        <w:sz w:val="19"/>
        <w:spacing w:val="-6"/>
        <w:szCs w:val="19"/>
        <w:rFonts w:eastAsia="Montserrat" w:cs="Montserrat"/>
        <w:color w:val="8A8A8A"/>
      </w:rPr>
      <w:fldChar w:fldCharType="separate"/>
    </w:r>
    <w:r>
      <w:rPr>
        <w:sz w:val="19"/>
        <w:spacing w:val="-6"/>
        <w:szCs w:val="19"/>
        <w:rFonts w:eastAsia="Montserrat" w:cs="Montserrat"/>
        <w:color w:val="8A8A8A"/>
      </w:rPr>
      <w:t>0</w:t>
    </w:r>
    <w:r>
      <w:rPr>
        <w:sz w:val="19"/>
        <w:spacing w:val="-6"/>
        <w:szCs w:val="19"/>
        <w:rFonts w:eastAsia="Montserrat" w:cs="Montserrat"/>
        <w:color w:val="8A8A8A"/>
      </w:rPr>
      <w:fldChar w:fldCharType="end"/>
    </w:r>
    <w:r>
      <w:rPr>
        <w:rFonts w:eastAsia="Montserrat" w:cs="Montserrat"/>
        <w:color w:val="8A8A8A"/>
        <w:spacing w:val="-6"/>
        <w:sz w:val="19"/>
        <w:szCs w:val="19"/>
      </w:rPr>
      <w:t xml:space="preserve"> из </w:t>
    </w:r>
    <w:r>
      <w:rPr>
        <w:rFonts w:eastAsia="Montserrat" w:cs="Montserrat"/>
        <w:color w:val="8A8A8A"/>
        <w:spacing w:val="-6"/>
        <w:sz w:val="19"/>
        <w:szCs w:val="19"/>
      </w:rPr>
      <w:fldChar w:fldCharType="begin"/>
    </w:r>
    <w:r>
      <w:rPr>
        <w:sz w:val="19"/>
        <w:spacing w:val="-6"/>
        <w:szCs w:val="19"/>
        <w:rFonts w:eastAsia="Montserrat" w:cs="Montserrat"/>
        <w:color w:val="8A8A8A"/>
      </w:rPr>
      <w:instrText xml:space="preserve"> NUMPAGES </w:instrText>
    </w:r>
    <w:r>
      <w:rPr>
        <w:sz w:val="19"/>
        <w:spacing w:val="-6"/>
        <w:szCs w:val="19"/>
        <w:rFonts w:eastAsia="Montserrat" w:cs="Montserrat"/>
        <w:color w:val="8A8A8A"/>
      </w:rPr>
      <w:fldChar w:fldCharType="separate"/>
    </w:r>
    <w:r>
      <w:rPr>
        <w:sz w:val="19"/>
        <w:spacing w:val="-6"/>
        <w:szCs w:val="19"/>
        <w:rFonts w:eastAsia="Montserrat" w:cs="Montserrat"/>
        <w:color w:val="8A8A8A"/>
      </w:rPr>
      <w:t>2</w:t>
    </w:r>
    <w:r>
      <w:rPr>
        <w:sz w:val="19"/>
        <w:spacing w:val="-6"/>
        <w:szCs w:val="19"/>
        <w:rFonts w:eastAsia="Montserrat" w:cs="Montserrat"/>
        <w:color w:val="8A8A8A"/>
      </w:rPr>
      <w:fldChar w:fldCharType="end"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 w:val="false"/>
      <w:suppressAutoHyphens w:val="true"/>
      <w:bidi w:val="0"/>
      <w:spacing w:lineRule="auto" w:line="240" w:before="0" w:after="0"/>
      <w:ind w:left="0" w:right="0" w:hanging="0"/>
      <w:jc w:val="right"/>
      <w:rPr>
        <w:rFonts w:eastAsia="Montserrat" w:cs="Montserrat"/>
        <w:color w:val="8A8A8A"/>
        <w:spacing w:val="-6"/>
        <w:sz w:val="19"/>
        <w:szCs w:val="19"/>
      </w:rPr>
    </w:pPr>
    <w:r>
      <w:rPr>
        <w:rFonts w:eastAsia="Montserrat" w:cs="Montserrat"/>
        <w:color w:val="8A8A8A"/>
        <w:spacing w:val="-6"/>
        <w:sz w:val="19"/>
        <w:szCs w:val="19"/>
      </w:rPr>
      <w:t xml:space="preserve">страница </w:t>
    </w:r>
    <w:r>
      <w:rPr>
        <w:rFonts w:eastAsia="Montserrat" w:cs="Montserrat"/>
        <w:color w:val="8A8A8A"/>
        <w:spacing w:val="-6"/>
        <w:sz w:val="19"/>
        <w:szCs w:val="19"/>
      </w:rPr>
      <w:fldChar w:fldCharType="begin"/>
    </w:r>
    <w:r>
      <w:rPr>
        <w:sz w:val="19"/>
        <w:spacing w:val="-6"/>
        <w:szCs w:val="19"/>
        <w:rFonts w:eastAsia="Montserrat" w:cs="Montserrat"/>
        <w:color w:val="8A8A8A"/>
      </w:rPr>
      <w:instrText xml:space="preserve"> PAGE </w:instrText>
    </w:r>
    <w:r>
      <w:rPr>
        <w:sz w:val="19"/>
        <w:spacing w:val="-6"/>
        <w:szCs w:val="19"/>
        <w:rFonts w:eastAsia="Montserrat" w:cs="Montserrat"/>
        <w:color w:val="8A8A8A"/>
      </w:rPr>
      <w:fldChar w:fldCharType="separate"/>
    </w:r>
    <w:r>
      <w:rPr>
        <w:sz w:val="19"/>
        <w:spacing w:val="-6"/>
        <w:szCs w:val="19"/>
        <w:rFonts w:eastAsia="Montserrat" w:cs="Montserrat"/>
        <w:color w:val="8A8A8A"/>
      </w:rPr>
      <w:t>0</w:t>
    </w:r>
    <w:r>
      <w:rPr>
        <w:sz w:val="19"/>
        <w:spacing w:val="-6"/>
        <w:szCs w:val="19"/>
        <w:rFonts w:eastAsia="Montserrat" w:cs="Montserrat"/>
        <w:color w:val="8A8A8A"/>
      </w:rPr>
      <w:fldChar w:fldCharType="end"/>
    </w:r>
    <w:r>
      <w:rPr>
        <w:rFonts w:eastAsia="Montserrat" w:cs="Montserrat"/>
        <w:color w:val="8A8A8A"/>
        <w:spacing w:val="-6"/>
        <w:sz w:val="19"/>
        <w:szCs w:val="19"/>
      </w:rPr>
      <w:t xml:space="preserve"> из </w:t>
    </w:r>
    <w:r>
      <w:rPr>
        <w:rFonts w:eastAsia="Montserrat" w:cs="Montserrat"/>
        <w:color w:val="8A8A8A"/>
        <w:spacing w:val="-6"/>
        <w:sz w:val="19"/>
        <w:szCs w:val="19"/>
      </w:rPr>
      <w:fldChar w:fldCharType="begin"/>
    </w:r>
    <w:r>
      <w:rPr>
        <w:sz w:val="19"/>
        <w:spacing w:val="-6"/>
        <w:szCs w:val="19"/>
        <w:rFonts w:eastAsia="Montserrat" w:cs="Montserrat"/>
        <w:color w:val="8A8A8A"/>
      </w:rPr>
      <w:instrText xml:space="preserve"> NUMPAGES </w:instrText>
    </w:r>
    <w:r>
      <w:rPr>
        <w:sz w:val="19"/>
        <w:spacing w:val="-6"/>
        <w:szCs w:val="19"/>
        <w:rFonts w:eastAsia="Montserrat" w:cs="Montserrat"/>
        <w:color w:val="8A8A8A"/>
      </w:rPr>
      <w:fldChar w:fldCharType="separate"/>
    </w:r>
    <w:r>
      <w:rPr>
        <w:sz w:val="19"/>
        <w:spacing w:val="-6"/>
        <w:szCs w:val="19"/>
        <w:rFonts w:eastAsia="Montserrat" w:cs="Montserrat"/>
        <w:color w:val="8A8A8A"/>
      </w:rPr>
      <w:t>2</w:t>
    </w:r>
    <w:r>
      <w:rPr>
        <w:sz w:val="19"/>
        <w:spacing w:val="-6"/>
        <w:szCs w:val="19"/>
        <w:rFonts w:eastAsia="Montserrat" w:cs="Montserrat"/>
        <w:color w:val="8A8A8A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350" w:type="dxa"/>
      <w:jc w:val="left"/>
      <w:tblInd w:w="29" w:type="dxa"/>
      <w:tblLayout w:type="fixed"/>
      <w:tblCellMar>
        <w:top w:w="0" w:type="dxa"/>
        <w:left w:w="0" w:type="dxa"/>
        <w:bottom w:w="0" w:type="dxa"/>
        <w:right w:w="0" w:type="dxa"/>
      </w:tblCellMar>
    </w:tblPr>
    <w:tblGrid>
      <w:gridCol w:w="5160"/>
      <w:gridCol w:w="4583"/>
      <w:gridCol w:w="607"/>
    </w:tblGrid>
    <w:tr>
      <w:trPr/>
      <w:tc>
        <w:tcPr>
          <w:tcW w:w="5160" w:type="dxa"/>
          <w:tcBorders>
            <w:bottom w:val="single" w:sz="6" w:space="0" w:color="A80F1D"/>
          </w:tcBorders>
          <w:vAlign w:val="bottom"/>
        </w:tcPr>
        <w:p>
          <w:pPr>
            <w:pStyle w:val="Normal"/>
            <w:widowControl w:val="false"/>
            <w:spacing w:before="0" w:after="0"/>
            <w:rPr>
              <w:rFonts w:eastAsia="Montserrat" w:cs="Montserrat"/>
              <w:b/>
              <w:b/>
              <w:bCs/>
              <w:color w:val="292929"/>
              <w:spacing w:val="-6"/>
            </w:rPr>
          </w:pPr>
          <w:r>
            <w:rPr>
              <w:rFonts w:eastAsia="Montserrat" w:cs="Montserrat"/>
              <w:b/>
              <w:bCs/>
              <w:color w:val="292929"/>
              <w:spacing w:val="-6"/>
              <w:sz w:val="33"/>
              <w:szCs w:val="33"/>
            </w:rPr>
            <w:t xml:space="preserve">ПУБЛИЧНАЯ   ОФЕРТА</w:t>
          </w:r>
        </w:p>
      </w:tc>
      <w:tc>
        <w:tcPr>
          <w:tcW w:w="4583" w:type="dxa"/>
          <w:tcBorders>
            <w:bottom w:val="single" w:sz="6" w:space="0" w:color="A80F1D"/>
          </w:tcBorders>
          <w:vAlign w:val="bottom"/>
        </w:tcPr>
        <w:p>
          <w:pPr>
            <w:pStyle w:val="Normal"/>
            <w:widowControl w:val="false"/>
            <w:suppressAutoHyphens w:val="true"/>
            <w:bidi w:val="0"/>
            <w:spacing w:lineRule="auto" w:line="240" w:before="0" w:after="0"/>
            <w:ind w:left="0" w:right="113" w:hanging="0"/>
            <w:jc w:val="right"/>
            <w:rPr/>
          </w:pPr>
          <w:r>
            <w:rPr>
              <w:rFonts w:eastAsia="Montserrat" w:cs="Montserrat"/>
              <w:b w:val="false"/>
              <w:bCs w:val="false"/>
              <w:color w:val="8A8A8A"/>
              <w:spacing w:val="-6"/>
              <w:sz w:val="19"/>
              <w:szCs w:val="19"/>
            </w:rPr>
            <w:t xml:space="preserve">ВЕРСИЯ </w:t>
          </w:r>
          <w:r>
            <w:rPr>
              <w:rFonts w:eastAsia="Montserrat" w:cs="Montserrat"/>
              <w:color w:val="292929"/>
              <w:spacing w:val="-6"/>
              <w:sz w:val="19"/>
              <w:szCs w:val="19"/>
            </w:rPr>
            <w:t xml:space="preserve">1.0  </w:t>
          </w:r>
          <w:r>
            <w:rPr>
              <w:rFonts w:eastAsia="Montserrat" w:cs="Montserrat"/>
              <w:b w:val="false"/>
              <w:bCs w:val="false"/>
              <w:color w:val="8A8A8A"/>
              <w:spacing w:val="-6"/>
              <w:sz w:val="19"/>
              <w:szCs w:val="19"/>
            </w:rPr>
            <w:t xml:space="preserve">ДАТА вступления в силу </w:t>
          </w:r>
          <w:r>
            <w:rPr>
              <w:rFonts w:eastAsia="Montserrat" w:cs="Montserrat"/>
              <w:color w:val="292929"/>
              <w:spacing w:val="-6"/>
              <w:sz w:val="19"/>
              <w:szCs w:val="19"/>
              <w:lang w:val="en-US"/>
            </w:rPr>
            <w:t>01.1</w:t>
          </w:r>
          <w:r>
            <w:rPr>
              <w:rFonts w:eastAsia="Montserrat" w:cs="Montserrat"/>
              <w:color w:val="292929"/>
              <w:spacing w:val="-6"/>
              <w:sz w:val="19"/>
              <w:szCs w:val="19"/>
              <w:lang w:val="en-US"/>
            </w:rPr>
            <w:t>0</w:t>
          </w:r>
          <w:r>
            <w:rPr>
              <w:rFonts w:eastAsia="Montserrat" w:cs="Montserrat"/>
              <w:color w:val="292929"/>
              <w:spacing w:val="-6"/>
              <w:sz w:val="19"/>
              <w:szCs w:val="19"/>
              <w:lang w:val="en-US"/>
            </w:rPr>
            <w:t>.2026</w:t>
          </w:r>
        </w:p>
      </w:tc>
      <w:tc>
        <w:tcPr>
          <w:tcW w:w="607" w:type="dxa"/>
          <w:tcBorders>
            <w:bottom w:val="single" w:sz="6" w:space="0" w:color="A80F1D"/>
          </w:tcBorders>
          <w:vAlign w:val="bottom"/>
        </w:tcPr>
        <w:p>
          <w:pPr>
            <w:pStyle w:val="Normal"/>
            <w:widowControl w:val="false"/>
            <w:bidi w:val="0"/>
            <w:spacing w:lineRule="auto" w:line="240" w:before="0" w:after="0"/>
            <w:ind w:left="0" w:right="454" w:hanging="0"/>
            <w:jc w:val="right"/>
            <w:rPr/>
          </w:pPr>
          <w:r>
            <w:rPr/>
          </w:r>
        </w:p>
      </w:tc>
    </w:tr>
  </w:tbl>
  <w:p>
    <w:pPr>
      <w:pStyle w:val="Normal"/>
      <w:widowControl/>
      <w:suppressAutoHyphens w:val="true"/>
      <w:bidi w:val="0"/>
      <w:spacing w:lineRule="auto" w:line="240" w:before="0" w:after="200"/>
      <w:ind w:left="0" w:right="510" w:hanging="0"/>
      <w:jc w:val="left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350" w:type="dxa"/>
      <w:jc w:val="left"/>
      <w:tblInd w:w="29" w:type="dxa"/>
      <w:tblLayout w:type="fixed"/>
      <w:tblCellMar>
        <w:top w:w="0" w:type="dxa"/>
        <w:left w:w="0" w:type="dxa"/>
        <w:bottom w:w="0" w:type="dxa"/>
        <w:right w:w="0" w:type="dxa"/>
      </w:tblCellMar>
    </w:tblPr>
    <w:tblGrid>
      <w:gridCol w:w="4864"/>
      <w:gridCol w:w="4761"/>
      <w:gridCol w:w="725"/>
    </w:tblGrid>
    <w:tr>
      <w:trPr/>
      <w:tc>
        <w:tcPr>
          <w:tcW w:w="4864" w:type="dxa"/>
          <w:tcBorders>
            <w:bottom w:val="single" w:sz="6" w:space="0" w:color="A80F1D"/>
          </w:tcBorders>
          <w:vAlign w:val="bottom"/>
        </w:tcPr>
        <w:p>
          <w:pPr>
            <w:pStyle w:val="Normal"/>
            <w:widowControl w:val="false"/>
            <w:spacing w:before="0" w:after="0"/>
            <w:rPr>
              <w:rFonts w:eastAsia="Montserrat" w:cs="Montserrat"/>
              <w:b/>
              <w:b/>
              <w:bCs/>
              <w:color w:val="292929"/>
              <w:spacing w:val="-6"/>
              <w:sz w:val="20"/>
              <w:szCs w:val="20"/>
            </w:rPr>
          </w:pPr>
          <w:r>
            <w:rPr>
              <w:rFonts w:eastAsia="Montserrat" w:cs="Montserrat"/>
              <w:b/>
              <w:bCs/>
              <w:color w:val="292929"/>
              <w:spacing w:val="-6"/>
              <w:sz w:val="20"/>
              <w:szCs w:val="20"/>
            </w:rPr>
            <w:t xml:space="preserve">ПУБЛИЧНАЯ   ОФЕРТА</w:t>
          </w:r>
        </w:p>
      </w:tc>
      <w:tc>
        <w:tcPr>
          <w:tcW w:w="4761" w:type="dxa"/>
          <w:tcBorders>
            <w:bottom w:val="single" w:sz="6" w:space="0" w:color="A80F1D"/>
          </w:tcBorders>
          <w:vAlign w:val="bottom"/>
        </w:tcPr>
        <w:p>
          <w:pPr>
            <w:pStyle w:val="Normal"/>
            <w:widowControl w:val="false"/>
            <w:suppressAutoHyphens w:val="true"/>
            <w:bidi w:val="0"/>
            <w:spacing w:lineRule="auto" w:line="240" w:before="0" w:after="0"/>
            <w:ind w:left="0" w:right="113" w:hanging="0"/>
            <w:jc w:val="right"/>
            <w:rPr/>
          </w:pPr>
          <w:r>
            <w:rPr>
              <w:rFonts w:eastAsia="Montserrat" w:cs="Montserrat"/>
              <w:b w:val="false"/>
              <w:bCs w:val="false"/>
              <w:color w:val="8A8A8A"/>
              <w:spacing w:val="-6"/>
              <w:sz w:val="19"/>
              <w:szCs w:val="19"/>
            </w:rPr>
            <w:t xml:space="preserve">ВЕРСИЯ </w:t>
          </w:r>
          <w:r>
            <w:rPr>
              <w:rFonts w:eastAsia="Montserrat" w:cs="Montserrat"/>
              <w:color w:val="292929"/>
              <w:spacing w:val="-6"/>
              <w:sz w:val="19"/>
              <w:szCs w:val="19"/>
            </w:rPr>
            <w:t xml:space="preserve">1.0  </w:t>
          </w:r>
          <w:r>
            <w:rPr>
              <w:rFonts w:eastAsia="Montserrat" w:cs="Montserrat"/>
              <w:b w:val="false"/>
              <w:bCs w:val="false"/>
              <w:color w:val="8A8A8A"/>
              <w:spacing w:val="-6"/>
              <w:sz w:val="19"/>
              <w:szCs w:val="19"/>
            </w:rPr>
            <w:t xml:space="preserve">ДАТА вступления в силу </w:t>
          </w:r>
          <w:r>
            <w:rPr>
              <w:rFonts w:eastAsia="Montserrat" w:cs="Montserrat"/>
              <w:color w:val="292929"/>
              <w:spacing w:val="-6"/>
              <w:sz w:val="19"/>
              <w:szCs w:val="19"/>
            </w:rPr>
            <w:t>01.1</w:t>
          </w:r>
          <w:r>
            <w:rPr>
              <w:rFonts w:eastAsia="Montserrat" w:cs="Montserrat"/>
              <w:color w:val="292929"/>
              <w:spacing w:val="-6"/>
              <w:sz w:val="19"/>
              <w:szCs w:val="19"/>
            </w:rPr>
            <w:t>0</w:t>
          </w:r>
          <w:r>
            <w:rPr>
              <w:rFonts w:eastAsia="Montserrat" w:cs="Montserrat"/>
              <w:color w:val="292929"/>
              <w:spacing w:val="-6"/>
              <w:sz w:val="19"/>
              <w:szCs w:val="19"/>
            </w:rPr>
            <w:t>.2026</w:t>
          </w:r>
        </w:p>
      </w:tc>
      <w:tc>
        <w:tcPr>
          <w:tcW w:w="725" w:type="dxa"/>
          <w:tcBorders>
            <w:bottom w:val="single" w:sz="6" w:space="0" w:color="A80F1D"/>
          </w:tcBorders>
          <w:vAlign w:val="bottom"/>
        </w:tcPr>
        <w:p>
          <w:pPr>
            <w:pStyle w:val="Normal"/>
            <w:widowControl w:val="false"/>
            <w:bidi w:val="0"/>
            <w:spacing w:lineRule="auto" w:line="240" w:before="0" w:after="0"/>
            <w:ind w:left="0" w:right="454" w:hanging="0"/>
            <w:jc w:val="right"/>
            <w:rPr/>
          </w:pPr>
          <w:r>
            <w:rPr/>
          </w:r>
        </w:p>
      </w:tc>
    </w:tr>
  </w:tbl>
  <w:p>
    <w:pPr>
      <w:pStyle w:val="Normal"/>
      <w:widowControl/>
      <w:suppressAutoHyphens w:val="true"/>
      <w:bidi w:val="0"/>
      <w:spacing w:lineRule="auto" w:line="240" w:before="0" w:after="200"/>
      <w:ind w:left="0" w:right="510" w:hanging="0"/>
      <w:jc w:val="left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 %1 "/>
      <w:lvlJc w:val="left"/>
      <w:pPr>
        <w:tabs>
          <w:tab w:val="num" w:pos="227"/>
        </w:tabs>
        <w:ind w:left="227" w:hanging="227"/>
      </w:pPr>
      <w:rPr/>
    </w:lvl>
    <w:lvl w:ilvl="1">
      <w:start w:val="1"/>
      <w:numFmt w:val="decimal"/>
      <w:lvlText w:val=" %1.%2 "/>
      <w:lvlJc w:val="left"/>
      <w:pPr>
        <w:tabs>
          <w:tab w:val="num" w:pos="454"/>
        </w:tabs>
        <w:ind w:left="454" w:hanging="227"/>
      </w:pPr>
      <w:rPr/>
    </w:lvl>
    <w:lvl w:ilvl="2">
      <w:start w:val="1"/>
      <w:numFmt w:val="decimal"/>
      <w:lvlText w:val=" %1.%2.%3 "/>
      <w:lvlJc w:val="left"/>
      <w:pPr>
        <w:tabs>
          <w:tab w:val="num" w:pos="680"/>
        </w:tabs>
        <w:ind w:left="680" w:hanging="227"/>
      </w:pPr>
      <w:rPr/>
    </w:lvl>
    <w:lvl w:ilvl="3">
      <w:start w:val="1"/>
      <w:numFmt w:val="decimal"/>
      <w:lvlText w:val=" %1.%2.%3.%4 "/>
      <w:lvlJc w:val="left"/>
      <w:pPr>
        <w:tabs>
          <w:tab w:val="num" w:pos="907"/>
        </w:tabs>
        <w:ind w:left="907" w:hanging="227"/>
      </w:pPr>
      <w:rPr/>
    </w:lvl>
    <w:lvl w:ilvl="4">
      <w:start w:val="1"/>
      <w:numFmt w:val="decimal"/>
      <w:lvlText w:val=" %1.%2.%3.%4.%5 "/>
      <w:lvlJc w:val="left"/>
      <w:pPr>
        <w:tabs>
          <w:tab w:val="num" w:pos="1134"/>
        </w:tabs>
        <w:ind w:left="1134" w:hanging="227"/>
      </w:pPr>
      <w:rPr/>
    </w:lvl>
    <w:lvl w:ilvl="5">
      <w:start w:val="1"/>
      <w:numFmt w:val="decimal"/>
      <w:lvlText w:val=" %1.%2.%3.%4.%5.%6 "/>
      <w:lvlJc w:val="left"/>
      <w:pPr>
        <w:tabs>
          <w:tab w:val="num" w:pos="1361"/>
        </w:tabs>
        <w:ind w:left="1361" w:hanging="227"/>
      </w:pPr>
      <w:rPr/>
    </w:lvl>
    <w:lvl w:ilvl="6">
      <w:start w:val="1"/>
      <w:numFmt w:val="decimal"/>
      <w:lvlText w:val=" %1.%2.%3.%4.%5.%6.%7 "/>
      <w:lvlJc w:val="left"/>
      <w:pPr>
        <w:tabs>
          <w:tab w:val="num" w:pos="1587"/>
        </w:tabs>
        <w:ind w:left="1587" w:hanging="227"/>
      </w:pPr>
      <w:rPr/>
    </w:lvl>
    <w:lvl w:ilvl="7">
      <w:start w:val="1"/>
      <w:numFmt w:val="decimal"/>
      <w:lvlText w:val=" %1.%2.%3.%4.%5.%6.%7.%8 "/>
      <w:lvlJc w:val="left"/>
      <w:pPr>
        <w:tabs>
          <w:tab w:val="num" w:pos="1814"/>
        </w:tabs>
        <w:ind w:left="1814" w:hanging="227"/>
      </w:pPr>
      <w:rPr/>
    </w:lvl>
    <w:lvl w:ilvl="8">
      <w:start w:val="1"/>
      <w:numFmt w:val="decimal"/>
      <w:lvlText w:val=" %1.%2.%3.%4.%5.%6.%7.%8.%9 "/>
      <w:lvlJc w:val="left"/>
      <w:pPr>
        <w:tabs>
          <w:tab w:val="num" w:pos="2041"/>
        </w:tabs>
        <w:ind w:left="2041" w:hanging="227"/>
      </w:pPr>
      <w:rPr/>
    </w:lvl>
  </w:abstractNum>
  <w:abstractNum w:abstractNumId="2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hanging="0"/>
      </w:pPr>
      <w:rPr>
        <w:sz w:val="20"/>
        <w:szCs w:val="2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460"/>
        </w:tabs>
        <w:ind w:left="460" w:hanging="460"/>
      </w:pPr>
      <w:rPr/>
    </w:lvl>
    <w:lvl w:ilvl="2">
      <w:start w:val="1"/>
      <w:numFmt w:val="bullet"/>
      <w:lvlText w:val=""/>
      <w:lvlJc w:val="left"/>
      <w:pPr>
        <w:tabs>
          <w:tab w:val="num" w:pos="1600"/>
        </w:tabs>
        <w:ind w:left="1600" w:hanging="60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4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40" w:before="0" w:after="120"/>
      <w:ind w:left="0" w:right="567" w:hanging="0"/>
      <w:jc w:val="left"/>
    </w:pPr>
    <w:rPr>
      <w:rFonts w:ascii="Montserrat" w:hAnsi="Montserrat" w:eastAsia="NSimSun" w:cs="Arial"/>
      <w:color w:val="auto"/>
      <w:spacing w:val="-6"/>
      <w:kern w:val="0"/>
      <w:sz w:val="20"/>
      <w:szCs w:val="20"/>
      <w:lang w:val="ru-RU" w:eastAsia="zh-CN" w:bidi="hi-IN"/>
    </w:rPr>
  </w:style>
  <w:style w:type="paragraph" w:styleId="1">
    <w:name w:val="Heading 1"/>
    <w:basedOn w:val="Style15"/>
    <w:qFormat/>
    <w:pPr>
      <w:spacing w:before="227" w:after="113"/>
    </w:pPr>
    <w:rPr>
      <w:b/>
      <w:bCs/>
      <w:color w:val="2E74B5"/>
      <w:sz w:val="24"/>
      <w:szCs w:val="24"/>
    </w:rPr>
  </w:style>
  <w:style w:type="paragraph" w:styleId="2">
    <w:name w:val="Heading 2"/>
    <w:basedOn w:val="Style15"/>
    <w:qFormat/>
    <w:pPr>
      <w:spacing w:before="200" w:after="100"/>
    </w:pPr>
    <w:rPr>
      <w:b/>
      <w:bCs/>
      <w:color w:val="2E74B5"/>
      <w:sz w:val="22"/>
      <w:szCs w:val="22"/>
    </w:rPr>
  </w:style>
  <w:style w:type="paragraph" w:styleId="3">
    <w:name w:val="Heading 3"/>
    <w:basedOn w:val="Style15"/>
    <w:qFormat/>
    <w:pPr/>
    <w:rPr>
      <w:color w:val="1F4D78"/>
      <w:sz w:val="24"/>
      <w:szCs w:val="24"/>
    </w:rPr>
  </w:style>
  <w:style w:type="paragraph" w:styleId="4">
    <w:name w:val="Heading 4"/>
    <w:basedOn w:val="Style15"/>
    <w:qFormat/>
    <w:pPr/>
    <w:rPr>
      <w:i/>
      <w:iCs/>
      <w:color w:val="2E74B5"/>
    </w:rPr>
  </w:style>
  <w:style w:type="paragraph" w:styleId="5">
    <w:name w:val="Heading 5"/>
    <w:basedOn w:val="Style15"/>
    <w:qFormat/>
    <w:pPr/>
    <w:rPr>
      <w:color w:val="2E74B5"/>
    </w:rPr>
  </w:style>
  <w:style w:type="paragraph" w:styleId="6">
    <w:name w:val="Heading 6"/>
    <w:basedOn w:val="Style15"/>
    <w:qFormat/>
    <w:pPr/>
    <w:rPr>
      <w:color w:val="1F4D78"/>
    </w:rPr>
  </w:style>
  <w:style w:type="character" w:styleId="Style8">
    <w:name w:val="Hyperlink"/>
    <w:uiPriority w:val="99"/>
    <w:unhideWhenUsed/>
    <w:rPr>
      <w:color w:val="0563C1"/>
      <w:u w:val="single"/>
    </w:rPr>
  </w:style>
  <w:style w:type="character" w:styleId="Style9">
    <w:name w:val="Символ сноски"/>
    <w:uiPriority w:val="99"/>
    <w:semiHidden/>
    <w:unhideWhenUsed/>
    <w:qFormat/>
    <w:rPr>
      <w:vertAlign w:val="superscript"/>
    </w:rPr>
  </w:style>
  <w:style w:type="character" w:styleId="Style10">
    <w:name w:val="Footnote Reference"/>
    <w:rPr>
      <w:vertAlign w:val="superscript"/>
    </w:rPr>
  </w:style>
  <w:style w:type="character" w:styleId="FootnoteTextChar">
    <w:name w:val="Footnote Text Char"/>
    <w:uiPriority w:val="99"/>
    <w:semiHidden/>
    <w:unhideWhenUsed/>
    <w:qFormat/>
    <w:rPr>
      <w:sz w:val="20"/>
      <w:szCs w:val="20"/>
    </w:rPr>
  </w:style>
  <w:style w:type="character" w:styleId="Style11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Style12">
    <w:name w:val="Endnote Reference"/>
    <w:rPr>
      <w:vertAlign w:val="superscript"/>
    </w:rPr>
  </w:style>
  <w:style w:type="character" w:styleId="EndnoteTextChar">
    <w:name w:val="Endnote Text Char"/>
    <w:uiPriority w:val="99"/>
    <w:semiHidden/>
    <w:unhideWhenUsed/>
    <w:qFormat/>
    <w:rPr>
      <w:sz w:val="20"/>
      <w:szCs w:val="20"/>
    </w:rPr>
  </w:style>
  <w:style w:type="character" w:styleId="Style13">
    <w:name w:val="Символ нумерации"/>
    <w:qFormat/>
    <w:rPr/>
  </w:style>
  <w:style w:type="character" w:styleId="Style14">
    <w:name w:val="Маркеры"/>
    <w:qFormat/>
    <w:rPr>
      <w:rFonts w:ascii="OpenSymbol" w:hAnsi="OpenSymbol" w:eastAsia="OpenSymbol" w:cs="OpenSymbol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Style20">
    <w:name w:val="Title"/>
    <w:basedOn w:val="Style15"/>
    <w:qFormat/>
    <w:pPr/>
    <w:rPr>
      <w:sz w:val="56"/>
      <w:szCs w:val="56"/>
    </w:rPr>
  </w:style>
  <w:style w:type="paragraph" w:styleId="Strong">
    <w:name w:val="Strong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Arial"/>
      <w:b/>
      <w:bCs/>
      <w:color w:val="auto"/>
      <w:kern w:val="0"/>
      <w:sz w:val="20"/>
      <w:szCs w:val="20"/>
      <w:lang w:val="ru-RU" w:eastAsia="zh-CN" w:bidi="hi-IN"/>
    </w:rPr>
  </w:style>
  <w:style w:type="paragraph" w:styleId="ListParagraph">
    <w:name w:val="List Paragraph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Arial"/>
      <w:color w:val="auto"/>
      <w:kern w:val="0"/>
      <w:sz w:val="20"/>
      <w:szCs w:val="20"/>
      <w:lang w:val="ru-RU" w:eastAsia="zh-CN" w:bidi="hi-IN"/>
    </w:rPr>
  </w:style>
  <w:style w:type="paragraph" w:styleId="Style21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Style22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Style23">
    <w:name w:val="Колонтитул"/>
    <w:basedOn w:val="Normal"/>
    <w:qFormat/>
    <w:pPr/>
    <w:rPr/>
  </w:style>
  <w:style w:type="paragraph" w:styleId="Style24">
    <w:name w:val="Header"/>
    <w:basedOn w:val="Style23"/>
    <w:pPr/>
    <w:rPr/>
  </w:style>
  <w:style w:type="paragraph" w:styleId="Style25">
    <w:name w:val="Footer"/>
    <w:basedOn w:val="Style23"/>
    <w:pPr/>
    <w:rPr/>
  </w:style>
  <w:style w:type="paragraph" w:styleId="Style26">
    <w:name w:val="Содержимое таблицы"/>
    <w:basedOn w:val="Normal"/>
    <w:qFormat/>
    <w:pPr>
      <w:widowControl w:val="false"/>
      <w:suppressLineNumbers/>
    </w:pPr>
    <w:rPr/>
  </w:style>
  <w:style w:type="paragraph" w:styleId="Style27">
    <w:name w:val="Содержимое врезки"/>
    <w:basedOn w:val="Normal"/>
    <w:qFormat/>
    <w:pPr/>
    <w:rPr/>
  </w:style>
  <w:style w:type="paragraph" w:styleId="Style28">
    <w:name w:val="Заголовок таблицы"/>
    <w:basedOn w:val="Style26"/>
    <w:qFormat/>
    <w:pPr>
      <w:suppressLineNumbers/>
      <w:jc w:val="center"/>
    </w:pPr>
    <w:rPr>
      <w:b/>
      <w:bCs/>
    </w:rPr>
  </w:style>
  <w:style w:type="paragraph" w:styleId="ListBullet">
    <w:name w:val="List Bullet"/>
    <w:basedOn w:val="Normal"/>
    <w:qFormat/>
    <w:pPr>
      <w:numPr>
        <w:ilvl w:val="0"/>
        <w:numId w:val="1"/>
      </w:numPr>
      <w:spacing w:before="0" w:after="100"/>
      <w:contextualSpacing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Montserrat" w:hAnsi="Montserrat" w:eastAsia="NSimSun" w:cs="Arial"/>
      <w:color w:val="000000"/>
      <w:kern w:val="0"/>
      <w:sz w:val="24"/>
      <w:szCs w:val="20"/>
      <w:lang w:val="ru-RU" w:eastAsia="zh-CN" w:bidi="hi-IN"/>
    </w:rPr>
  </w:style>
  <w:style w:type="numbering" w:styleId="123">
    <w:name w:val="Нумерованный 123"/>
    <w:qFormat/>
  </w:style>
  <w:style w:type="numbering" w:styleId="Style29">
    <w:name w:val="Маркированный •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header" Target="header2.xml"/><Relationship Id="rId5" Type="http://schemas.openxmlformats.org/officeDocument/2006/relationships/footer" Target="footer2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1031</TotalTime>
  <Application>LibreOffice/7.4.4.2$Windows_X86_64 LibreOffice_project/85569322deea74ec9134968a29af2df5663baa21</Application>
  <AppVersion>15.0000</AppVersion>
  <Pages>2</Pages>
  <Words>713</Words>
  <Characters>5066</Characters>
  <CharactersWithSpaces>5711</CharactersWithSpaces>
  <Paragraphs>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2026-09-28T14:00:00Z</dcterms:created>
  <dc:creator>АВТОР · концепт</dc:creator>
  <dc:description/>
  <dc:language>ru-RU</dc:language>
  <cp:lastModifiedBy/>
  <dcterms:modified xsi:type="dcterms:W3CDTF">2026-10-17T12:00:16Z</dcterms:modified>
  <cp:revision>64</cp:revision>
  <dc:subject/>
  <dc:title>Публичная оферта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