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8"/>
        <w:rPr>
          <w:rFonts w:ascii="Montserrat" w:hAnsi="Montserrat"/>
          <w:b/>
          <w:b/>
          <w:color w:val="000000"/>
          <w:shd w:fill="auto" w:val="clear"/>
        </w:rPr>
      </w:pPr>
      <w:r>
        <w:rPr>
          <w:b/>
          <w:color w:val="000000"/>
          <w:sz w:val="24"/>
          <w:szCs w:val="24"/>
          <w:shd w:fill="auto" w:val="clear"/>
        </w:rPr>
        <w:t xml:space="preserve">Регламент обращений и удаления персональных данных</w:t>
      </w:r>
    </w:p>
    <w:p>
      <w:pPr>
        <w:pStyle w:val="Normal"/>
        <w:spacing w:before="0" w:after="283"/>
        <w:rPr>
          <w:rFonts w:ascii="Montserrat" w:hAnsi="Montserrat"/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сайта «АВТОР · концепт»</w:t>
      </w:r>
    </w:p>
    <w:p>
      <w:pPr>
        <w:pStyle w:val="Normal"/>
        <w:widowControl/>
        <w:suppressAutoHyphens w:val="true"/>
        <w:bidi w:val="0"/>
        <w:spacing w:lineRule="exact" w:line="227" w:before="0" w:after="85"/>
        <w:ind w:left="0" w:right="57" w:hanging="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Регламент описывает порядок рассмотрения обращений субъектов персональных данных и удаления данных и дополняет Политику конфиденциальности и обработки персональных данных.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Какие данные хранятся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У Оператора могут храниться: заявки (имя, телефон, текст обращения), переписка с пользователем, данные заказчика по договору, записи о согласиях, технические журналы, платёжные документы. Доступ к этим данным имеет Оператор и лица, которым он необходим для исполнения заявки и договора.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Как направить запрос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Запрос на получение информации об обработке, уточнение, блокирование, удаление данных, отзыв согласия или выгрузку данных направляется на электронную почту Оператора avtor-docinfo@yandex.ru с темой «Персональные данные». В запросе нужно указать имя и контакты (телефон или e-mail), которые использовались в заявке, и суть требования.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Запрос, поступивший с адреса электронной почты или от номера телефона, указанных в заявке, считается подтверждённым. В иных случаях Оператор вправе запросить сведения, достаточные для установления личности субъекта и связи его запроса с данными (ч. 3 ст. 14 152-ФЗ).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Сроки рассмотрения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отвечает на запрос о предоставлении информации об обработке в течение 10 (десяти) рабочих дней с момента получения; этот срок может быть продлён не более чем на 5 (пять) рабочих дней с направлением мотивированного уведомления (ст. 20 152-ФЗ).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Уточнение, блокирование или уничтожение данных по требованию субъекта выполняется в сроки, установленные ст. 21 152-ФЗ, но не позднее 7 (семи) рабочих дней со дня подтверждения неполноты, неточности, незаконного получения данных либо отсутствия необходимости в них для заявленной цели.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При отзыве согласия Оператор прекращает обработку и уничтожает данные в срок не более 10 (десяти) рабочих дней, но не позднее срока, установленного законом, за исключением данных, хранение которых обязательно по закону.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Порядок удаления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Удаление выполняется в такой последовательности: проверка запроса и данных; подтверждение с субъектом (при необходимости); удаление данных из рабочей базы и переписки; направление субъекту уведомления о выполнении. Удаление необратимо. Удаление из рабочей базы не означает мгновенное удаление технических копий из резервных хранилищ — они перезаписываются по графику резервного копирования.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Сроки хранения после удаления</w:t>
      </w:r>
    </w:p>
    <w:tbl>
      <w:tblPr>
        <w:tblW w:w="9750" w:type="dxa"/>
        <w:jc w:val="left"/>
        <w:tblInd w:w="0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691"/>
        <w:gridCol w:w="2909"/>
        <w:gridCol w:w="4150"/>
      </w:tblGrid>
      <w:tr>
        <w:trPr/>
        <w:tc>
          <w:tcPr>
            <w:tcW w:w="2691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Категория данных</w:t>
            </w:r>
          </w:p>
        </w:tc>
        <w:tc>
          <w:tcPr>
            <w:tcW w:w="2909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Срок хранения после удаления</w:t>
            </w:r>
          </w:p>
        </w:tc>
        <w:tc>
          <w:tcPr>
            <w:tcW w:w="4150" w:type="dxa"/>
            <w:tcBorders>
              <w:bottom w:val="single" w:sz="4" w:space="0" w:color="29292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b/>
                <w:b/>
                <w:bCs/>
                <w:color w:val="292929"/>
                <w:spacing w:val="-6"/>
                <w:sz w:val="18"/>
                <w:szCs w:val="18"/>
              </w:rPr>
            </w:pPr>
            <w:r>
              <w:rPr>
                <w:b/>
                <w:bCs/>
                <w:color w:val="292929"/>
                <w:spacing w:val="-6"/>
                <w:sz w:val="18"/>
                <w:szCs w:val="18"/>
              </w:rPr>
              <w:t xml:space="preserve">Комментарий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Заявки и переписка в рабочей базе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удаляются после выполнения запроса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исключаются из интерфейса и рабочей выборки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Данные по договору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не менее 5 лет после исполнения договора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гарантийные обязательства, бухгалтерский и налоговый учёт; досрочному удалению не подлежат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Данные об оплате и платёжные документы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не менее 5 лет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обязательный срок по законодательству о бухгалтерском и налоговом учёте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Записи о согласиях и отзыве (checksum, версия, время)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3 года с момента прекращения обработки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общий срок исковой давности (ст. 196 ГК РФ) — для доказательства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Согласие на рекламу и запись об отзыве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3 года с момента отзыва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для доказательства соблюдения требований закона о рекламе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Технические журналы (IP, User-Agent)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до 12 месяцев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далее обезличиваются либо удаляются</w:t>
            </w:r>
          </w:p>
        </w:tc>
      </w:tr>
      <w:tr>
        <w:trPr/>
        <w:tc>
          <w:tcPr>
            <w:tcW w:w="2691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Резервные копии базы данных</w:t>
            </w:r>
          </w:p>
        </w:tc>
        <w:tc>
          <w:tcPr>
            <w:tcW w:w="2909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до 30 дней</w:t>
            </w:r>
          </w:p>
        </w:tc>
        <w:tc>
          <w:tcPr>
            <w:tcW w:w="4150" w:type="dxa"/>
            <w:tcBorders>
              <w:bottom w:val="single" w:sz="4" w:space="0" w:color="D9D9D9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Montserrat" w:hAnsi="Montserrat"/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перезаписываются в рамках цикла резервного копирования</w:t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Ни одна из перечисленных категорий не хранится бессрочно по усмотрению Оператора: по истечении указанных сроков данные удаляются безвозвратно или обезличиваются, кроме случаев, когда более длительный срок прямо установлен законодательством Российской Федерации.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Отказ от рекламных сообщений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Согласие на рекламные и информационные сообщения отзывается ответом «Отписаться» на сообщение, ссылкой в письме либо письмом на электронную почту Оператора. Пользователь исключается из рекламной рассылки незамедлительно. Служебные сообщения по заявке и договору продолжают направляться.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Файлы cookie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Отказаться от аналитических файлов cookie можно в уведомлении о cookie на Сайте и в настройках браузера. Ранее собранные аналитические данные не позволяют идентифицировать пользователя и удаляются по истечении срока хранения технических журналов.</w:t>
      </w:r>
    </w:p>
    <w:p>
      <w:pPr>
        <w:pStyle w:val="1"/>
        <w:numPr>
          <w:ilvl w:val="0"/>
          <w:numId w:val="2"/>
        </w:numPr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Отказ в удалении</w:t>
      </w:r>
    </w:p>
    <w:p>
      <w:pPr>
        <w:pStyle w:val="Normal"/>
        <w:widowControl/>
        <w:numPr>
          <w:ilvl w:val="1"/>
          <w:numId w:val="2"/>
        </w:numPr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  <w:t xml:space="preserve">Оператор вправе отказать в удалении данных, если их хранение обязательно по закону (договор, бухгалтерский и налоговый учёт, судебные споры), с мотивированным уведомлением субъекта. Такие данные блокируются и не используются иначе как для исполнения требований закона.</w:t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>
          <w:color w:val="000000"/>
          <w:shd w:fill="auto" w:val="clear"/>
        </w:rPr>
      </w:r>
    </w:p>
    <w:tbl>
      <w:tblPr>
        <w:tblW w:w="1037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00"/>
        <w:gridCol w:w="4908"/>
        <w:gridCol w:w="570"/>
      </w:tblGrid>
      <w:tr>
        <w:trPr/>
        <w:tc>
          <w:tcPr>
            <w:tcW w:w="490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pacing w:before="0" w:after="0"/>
              <w:rPr>
                <w:b w:val="false"/>
                <w:b w:val="false"/>
                <w:bCs w:val="false"/>
                <w:spacing w:val="10"/>
              </w:rPr>
            </w:pPr>
            <w:r>
              <w:rPr>
                <w:b w:val="false"/>
                <w:bCs w:val="false"/>
                <w:spacing w:val="10"/>
              </w:rPr>
            </w:r>
          </w:p>
        </w:tc>
        <w:tc>
          <w:tcPr>
            <w:tcW w:w="4908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13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  <w:tc>
          <w:tcPr>
            <w:tcW w:w="570" w:type="dxa"/>
            <w:tcBorders>
              <w:bottom w:val="single" w:sz="6" w:space="0" w:color="A80F1D"/>
            </w:tcBorders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454" w:hanging="0"/>
              <w:jc w:val="righ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292929"/>
                <w:kern w:val="0"/>
                <w:sz w:val="21"/>
                <w:szCs w:val="21"/>
                <w:lang w:val="ru-RU" w:eastAsia="zh-CN" w:bidi="hi-IN"/>
              </w:rPr>
            </w:r>
          </w:p>
        </w:tc>
      </w:tr>
    </w:tbl>
    <w:p>
      <w:pPr>
        <w:pStyle w:val="1"/>
        <w:spacing w:before="227" w:after="57"/>
        <w:ind w:left="0" w:right="567" w:hanging="0"/>
        <w:rPr>
          <w:rFonts w:ascii="Montserrat" w:hAnsi="Montserrat"/>
          <w:color w:val="000000"/>
          <w:sz w:val="24"/>
          <w:szCs w:val="24"/>
          <w:shd w:fill="auto" w:val="clear"/>
        </w:rPr>
      </w:pPr>
      <w:r>
        <w:rPr>
          <w:rFonts w:ascii="Montserrat" w:hAnsi="Montserrat"/>
          <w:color w:val="000000"/>
          <w:sz w:val="24"/>
          <w:szCs w:val="24"/>
          <w:shd w:fill="auto" w:val="clear"/>
        </w:rPr>
        <w:t xml:space="preserve">Контактная информация</w:t>
      </w:r>
    </w:p>
    <w:tbl>
      <w:tblPr>
        <w:tblW w:w="5000" w:type="pct"/>
        <w:jc w:val="left"/>
        <w:tblInd w:w="0" w:type="dxa"/>
        <w:tblLayout w:type="fixed"/>
        <w:tblCellMar>
          <w:top w:w="120" w:type="dxa"/>
          <w:left w:w="0" w:type="dxa"/>
          <w:bottom w:w="160" w:type="dxa"/>
          <w:right w:w="200" w:type="dxa"/>
        </w:tblCellMar>
      </w:tblPr>
      <w:tblGrid>
        <w:gridCol w:w="3052"/>
        <w:gridCol w:w="1819"/>
        <w:gridCol w:w="1429"/>
        <w:gridCol w:w="3450"/>
      </w:tblGrid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ПОЛНОЕ НАИМЕНОВАНИЕ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Индивидуальный предприниматель Борисова Анна Алексеевна</w:t>
            </w:r>
          </w:p>
        </w:tc>
      </w:tr>
      <w:tr>
        <w:trPr/>
        <w:tc>
          <w:tcPr>
            <w:tcW w:w="9750" w:type="dxa"/>
            <w:gridSpan w:val="4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МЕСТОНАХОЖДЕНИЕ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 xml:space="preserve">г. Москва. Полный адрес предоставляется по запросу с обоснованием цели обращения на почту info@avtor-concept.ru. Ответ направляется в течение 5 рабочих дней.</w:t>
            </w:r>
          </w:p>
        </w:tc>
      </w:tr>
      <w:tr>
        <w:trPr/>
        <w:tc>
          <w:tcPr>
            <w:tcW w:w="4871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ИНН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772479493356</w:t>
            </w:r>
          </w:p>
        </w:tc>
        <w:tc>
          <w:tcPr>
            <w:tcW w:w="4879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ОГРН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20"/>
                <w:szCs w:val="20"/>
                <w:shd w:fill="auto" w:val="clear"/>
                <w:lang w:val="ru-RU" w:eastAsia="zh-CN" w:bidi="hi-IN"/>
              </w:rPr>
              <w:t>316774600207835   15.04.2016</w:t>
            </w:r>
          </w:p>
        </w:tc>
      </w:tr>
      <w:tr>
        <w:trPr/>
        <w:tc>
          <w:tcPr>
            <w:tcW w:w="3052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САЙТ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https://avtor-concept.ru</w:t>
            </w:r>
          </w:p>
        </w:tc>
        <w:tc>
          <w:tcPr>
            <w:tcW w:w="3248" w:type="dxa"/>
            <w:gridSpan w:val="2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E-MAIL</w:t>
            </w:r>
          </w:p>
          <w:p>
            <w:pPr>
              <w:pStyle w:val="Normal"/>
              <w:widowControl w:val="false"/>
              <w:suppressAutoHyphens w:val="true"/>
              <w:spacing w:before="0" w:after="160"/>
              <w:rPr>
                <w:rFonts w:eastAsia="Montserrat" w:cs="Montserrat"/>
                <w:b w:val="false"/>
                <w:b w:val="false"/>
                <w:bCs w:val="false"/>
                <w:color w:val="000000"/>
                <w:spacing w:val="-6"/>
                <w:kern w:val="0"/>
                <w:shd w:fill="auto" w:val="clear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avtor-docinfo@yandex.ru</w:t>
            </w:r>
          </w:p>
        </w:tc>
        <w:tc>
          <w:tcPr>
            <w:tcW w:w="3450" w:type="dxa"/>
            <w:tcBorders/>
          </w:tcPr>
          <w:p>
            <w:pPr>
              <w:pStyle w:val="Normal"/>
              <w:widowControl w:val="false"/>
              <w:pBdr>
                <w:bottom w:val="single" w:sz="2" w:space="4" w:color="D9D9D9"/>
              </w:pBdr>
              <w:spacing w:before="0" w:after="40"/>
              <w:rPr>
                <w:rFonts w:eastAsia="Montserrat" w:cs="Montserrat"/>
                <w:color w:val="8A8A8A"/>
                <w:spacing w:val="20"/>
                <w:sz w:val="16"/>
                <w:szCs w:val="16"/>
              </w:rPr>
            </w:pPr>
            <w:r>
              <w:rPr>
                <w:rFonts w:eastAsia="Montserrat" w:cs="Montserrat"/>
                <w:b w:val="false"/>
                <w:bCs w:val="false"/>
                <w:color w:val="8A8A8A"/>
                <w:spacing w:val="20"/>
                <w:sz w:val="16"/>
                <w:szCs w:val="16"/>
              </w:rPr>
              <w:t>СРОК ОТВЕТА НА ОБРАЩЕНИЯ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160"/>
              <w:ind w:left="0" w:right="0" w:hanging="0"/>
              <w:jc w:val="left"/>
              <w:rPr>
                <w:rFonts w:ascii="Montserrat" w:hAnsi="Montserrat" w:eastAsia="Montserrat" w:cs="Montserrat"/>
                <w:b w:val="false"/>
                <w:b w:val="false"/>
                <w:bCs w:val="false"/>
                <w:color w:val="292929"/>
                <w:spacing w:val="-6"/>
                <w:kern w:val="0"/>
                <w:sz w:val="20"/>
                <w:szCs w:val="20"/>
                <w:lang w:val="ru-RU" w:eastAsia="zh-CN" w:bidi="hi-IN"/>
              </w:rPr>
            </w:pP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8"/>
                <w:szCs w:val="18"/>
                <w:shd w:fill="auto" w:val="clear"/>
                <w:lang w:val="ru-RU" w:eastAsia="zh-CN" w:bidi="hi-IN"/>
              </w:rPr>
              <w:t>до 10 рабочих дней</w:t>
            </w:r>
            <w:r>
              <w:rPr>
                <w:rFonts w:eastAsia="Montserrat" w:cs="Montserrat"/>
                <w:b w:val="false"/>
                <w:bCs w:val="false"/>
                <w:color w:val="000000"/>
                <w:spacing w:val="-6"/>
                <w:kern w:val="0"/>
                <w:sz w:val="14"/>
                <w:szCs w:val="14"/>
                <w:shd w:fill="auto" w:val="clear"/>
                <w:lang w:val="ru-RU" w:eastAsia="zh-CN" w:bidi="hi-IN"/>
              </w:rPr>
              <w:t/>
            </w:r>
          </w:p>
        </w:tc>
      </w:tr>
    </w:tbl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p>
      <w:pPr>
        <w:pStyle w:val="Normal"/>
        <w:widowControl/>
        <w:tabs>
          <w:tab w:val="clear" w:pos="643"/>
          <w:tab w:val="left" w:pos="460" w:leader="none"/>
        </w:tabs>
        <w:suppressAutoHyphens w:val="true"/>
        <w:bidi w:val="0"/>
        <w:spacing w:lineRule="exact" w:line="227" w:before="0" w:after="85"/>
        <w:ind w:left="460" w:right="57" w:hanging="460"/>
        <w:jc w:val="both"/>
        <w:rPr>
          <w:color w:val="000000"/>
          <w:shd w:fill="auto" w:val="clear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162" w:right="994" w:gutter="0" w:header="736" w:top="1162" w:footer="454" w:bottom="1162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Montserrat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bidi w:val="0"/>
      <w:spacing w:lineRule="auto" w:line="240" w:before="0" w:after="0"/>
      <w:ind w:left="0" w:right="0" w:hanging="0"/>
      <w:jc w:val="right"/>
      <w:rPr>
        <w:rFonts w:eastAsia="Montserrat" w:cs="Montserrat"/>
        <w:color w:val="8A8A8A"/>
        <w:spacing w:val="-6"/>
        <w:sz w:val="19"/>
        <w:szCs w:val="19"/>
      </w:rPr>
    </w:pPr>
    <w:r>
      <w:rPr>
        <w:rFonts w:eastAsia="Montserrat" w:cs="Montserrat"/>
        <w:color w:val="8A8A8A"/>
        <w:spacing w:val="-6"/>
        <w:sz w:val="19"/>
        <w:szCs w:val="19"/>
      </w:rPr>
      <w:t xml:space="preserve">страница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PAGE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0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  <w:r>
      <w:rPr>
        <w:rFonts w:eastAsia="Montserrat" w:cs="Montserrat"/>
        <w:color w:val="8A8A8A"/>
        <w:spacing w:val="-6"/>
        <w:sz w:val="19"/>
        <w:szCs w:val="19"/>
      </w:rPr>
      <w:t xml:space="preserve"> из </w:t>
    </w:r>
    <w:r>
      <w:rPr>
        <w:rFonts w:eastAsia="Montserrat" w:cs="Montserrat"/>
        <w:color w:val="8A8A8A"/>
        <w:spacing w:val="-6"/>
        <w:sz w:val="19"/>
        <w:szCs w:val="19"/>
      </w:rPr>
      <w:fldChar w:fldCharType="begin"/>
    </w:r>
    <w:r>
      <w:rPr>
        <w:sz w:val="19"/>
        <w:spacing w:val="-6"/>
        <w:szCs w:val="19"/>
        <w:rFonts w:eastAsia="Montserrat" w:cs="Montserrat"/>
        <w:color w:val="8A8A8A"/>
      </w:rPr>
      <w:instrText xml:space="preserve"> NUMPAGES </w:instrText>
    </w:r>
    <w:r>
      <w:rPr>
        <w:sz w:val="19"/>
        <w:spacing w:val="-6"/>
        <w:szCs w:val="19"/>
        <w:rFonts w:eastAsia="Montserrat" w:cs="Montserrat"/>
        <w:color w:val="8A8A8A"/>
      </w:rPr>
      <w:fldChar w:fldCharType="separate"/>
    </w:r>
    <w:r>
      <w:rPr>
        <w:sz w:val="19"/>
        <w:spacing w:val="-6"/>
        <w:szCs w:val="19"/>
        <w:rFonts w:eastAsia="Montserrat" w:cs="Montserrat"/>
        <w:color w:val="8A8A8A"/>
      </w:rPr>
      <w:t>2</w:t>
    </w:r>
    <w:r>
      <w:rPr>
        <w:sz w:val="19"/>
        <w:spacing w:val="-6"/>
        <w:szCs w:val="19"/>
        <w:rFonts w:eastAsia="Montserrat" w:cs="Montserrat"/>
        <w:color w:val="8A8A8A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866"/>
      <w:gridCol w:w="4763"/>
      <w:gridCol w:w="721"/>
    </w:tblGrid>
    <w:tr>
      <w:trPr/>
      <w:tc>
        <w:tcPr>
          <w:tcW w:w="4866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  <w:sz w:val="20"/>
              <w:szCs w:val="20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20"/>
              <w:szCs w:val="20"/>
            </w:rPr>
            <w:t xml:space="preserve">РЕГЛАМЕНТ   ОБРАЩЕНИЙ И УДАЛЕНИЯ ДАННЫХ</w:t>
          </w:r>
        </w:p>
      </w:tc>
      <w:tc>
        <w:tcPr>
          <w:tcW w:w="476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721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350" w:type="dxa"/>
      <w:jc w:val="left"/>
      <w:tblInd w:w="29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5160"/>
      <w:gridCol w:w="4583"/>
      <w:gridCol w:w="607"/>
    </w:tblGrid>
    <w:tr>
      <w:trPr/>
      <w:tc>
        <w:tcPr>
          <w:tcW w:w="5160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pacing w:before="0" w:after="0"/>
            <w:rPr>
              <w:rFonts w:eastAsia="Montserrat" w:cs="Montserrat"/>
              <w:b/>
              <w:b/>
              <w:bCs/>
              <w:color w:val="292929"/>
              <w:spacing w:val="-6"/>
            </w:rPr>
          </w:pPr>
          <w:r>
            <w:rPr>
              <w:rFonts w:eastAsia="Montserrat" w:cs="Montserrat"/>
              <w:b/>
              <w:bCs/>
              <w:color w:val="292929"/>
              <w:spacing w:val="-6"/>
              <w:sz w:val="33"/>
              <w:szCs w:val="33"/>
            </w:rPr>
            <w:t xml:space="preserve">РЕГЛАМЕНТ   ОБРАЩЕНИЙ И УДАЛЕНИЯ ДАННЫХ</w:t>
          </w:r>
        </w:p>
      </w:tc>
      <w:tc>
        <w:tcPr>
          <w:tcW w:w="4583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suppressAutoHyphens w:val="true"/>
            <w:bidi w:val="0"/>
            <w:spacing w:lineRule="auto" w:line="240" w:before="0" w:after="0"/>
            <w:ind w:left="0" w:right="113" w:hanging="0"/>
            <w:jc w:val="right"/>
            <w:rPr/>
          </w:pP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ВЕРСИЯ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 xml:space="preserve">1.0  </w:t>
          </w:r>
          <w:r>
            <w:rPr>
              <w:rFonts w:eastAsia="Montserrat" w:cs="Montserrat"/>
              <w:b w:val="false"/>
              <w:bCs w:val="false"/>
              <w:color w:val="8A8A8A"/>
              <w:spacing w:val="-6"/>
              <w:sz w:val="19"/>
              <w:szCs w:val="19"/>
            </w:rPr>
            <w:t xml:space="preserve">ДАТА вступления в силу 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01.1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0</w:t>
          </w:r>
          <w:r>
            <w:rPr>
              <w:rFonts w:eastAsia="Montserrat" w:cs="Montserrat"/>
              <w:color w:val="292929"/>
              <w:spacing w:val="-6"/>
              <w:sz w:val="19"/>
              <w:szCs w:val="19"/>
            </w:rPr>
            <w:t>.2026</w:t>
          </w:r>
        </w:p>
      </w:tc>
      <w:tc>
        <w:tcPr>
          <w:tcW w:w="607" w:type="dxa"/>
          <w:tcBorders>
            <w:bottom w:val="single" w:sz="6" w:space="0" w:color="A80F1D"/>
          </w:tcBorders>
          <w:vAlign w:val="bottom"/>
        </w:tcPr>
        <w:p>
          <w:pPr>
            <w:pStyle w:val="Normal"/>
            <w:widowControl w:val="false"/>
            <w:bidi w:val="0"/>
            <w:spacing w:lineRule="auto" w:line="240" w:before="0" w:after="0"/>
            <w:ind w:left="0" w:right="454" w:hanging="0"/>
            <w:jc w:val="right"/>
            <w:rPr/>
          </w:pPr>
          <w:r>
            <w:rPr/>
          </w:r>
        </w:p>
      </w:tc>
    </w:tr>
  </w:tbl>
  <w:p>
    <w:pPr>
      <w:pStyle w:val="Normal"/>
      <w:widowControl/>
      <w:suppressAutoHyphens w:val="true"/>
      <w:bidi w:val="0"/>
      <w:spacing w:lineRule="auto" w:line="240" w:before="0" w:after="200"/>
      <w:ind w:left="0" w:right="510" w:hanging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 %1 "/>
      <w:lvlJc w:val="left"/>
      <w:pPr>
        <w:tabs>
          <w:tab w:val="num" w:pos="227"/>
        </w:tabs>
        <w:ind w:left="227" w:hanging="227"/>
      </w:pPr>
      <w:rPr/>
    </w:lvl>
    <w:lvl w:ilvl="1">
      <w:start w:val="1"/>
      <w:numFmt w:val="decimal"/>
      <w:lvlText w:val=" %1.%2 "/>
      <w:lvlJc w:val="left"/>
      <w:pPr>
        <w:tabs>
          <w:tab w:val="num" w:pos="454"/>
        </w:tabs>
        <w:ind w:left="454" w:hanging="227"/>
      </w:pPr>
      <w:rPr/>
    </w:lvl>
    <w:lvl w:ilvl="2">
      <w:start w:val="1"/>
      <w:numFmt w:val="decimal"/>
      <w:lvlText w:val=" %1.%2.%3 "/>
      <w:lvlJc w:val="left"/>
      <w:pPr>
        <w:tabs>
          <w:tab w:val="num" w:pos="680"/>
        </w:tabs>
        <w:ind w:left="680" w:hanging="227"/>
      </w:pPr>
      <w:rPr/>
    </w:lvl>
    <w:lvl w:ilvl="3">
      <w:start w:val="1"/>
      <w:numFmt w:val="decimal"/>
      <w:lvlText w:val=" %1.%2.%3.%4 "/>
      <w:lvlJc w:val="left"/>
      <w:pPr>
        <w:tabs>
          <w:tab w:val="num" w:pos="907"/>
        </w:tabs>
        <w:ind w:left="907" w:hanging="227"/>
      </w:pPr>
      <w:rPr/>
    </w:lvl>
    <w:lvl w:ilvl="4">
      <w:start w:val="1"/>
      <w:numFmt w:val="decimal"/>
      <w:lvlText w:val=" %1.%2.%3.%4.%5 "/>
      <w:lvlJc w:val="left"/>
      <w:pPr>
        <w:tabs>
          <w:tab w:val="num" w:pos="1134"/>
        </w:tabs>
        <w:ind w:left="1134" w:hanging="227"/>
      </w:pPr>
      <w:rPr/>
    </w:lvl>
    <w:lvl w:ilvl="5">
      <w:start w:val="1"/>
      <w:numFmt w:val="decimal"/>
      <w:lvlText w:val=" %1.%2.%3.%4.%5.%6 "/>
      <w:lvlJc w:val="left"/>
      <w:pPr>
        <w:tabs>
          <w:tab w:val="num" w:pos="1361"/>
        </w:tabs>
        <w:ind w:left="1361" w:hanging="227"/>
      </w:pPr>
      <w:rPr/>
    </w:lvl>
    <w:lvl w:ilvl="6">
      <w:start w:val="1"/>
      <w:numFmt w:val="decimal"/>
      <w:lvlText w:val=" %1.%2.%3.%4.%5.%6.%7 "/>
      <w:lvlJc w:val="left"/>
      <w:pPr>
        <w:tabs>
          <w:tab w:val="num" w:pos="1587"/>
        </w:tabs>
        <w:ind w:left="1587" w:hanging="227"/>
      </w:pPr>
      <w:rPr/>
    </w:lvl>
    <w:lvl w:ilvl="7">
      <w:start w:val="1"/>
      <w:numFmt w:val="decimal"/>
      <w:lvlText w:val=" %1.%2.%3.%4.%5.%6.%7.%8 "/>
      <w:lvlJc w:val="left"/>
      <w:pPr>
        <w:tabs>
          <w:tab w:val="num" w:pos="1814"/>
        </w:tabs>
        <w:ind w:left="1814" w:hanging="227"/>
      </w:pPr>
      <w:rPr/>
    </w:lvl>
    <w:lvl w:ilvl="8">
      <w:start w:val="1"/>
      <w:numFmt w:val="decimal"/>
      <w:lvlText w:val=" %1.%2.%3.%4.%5.%6.%7.%8.%9 "/>
      <w:lvlJc w:val="left"/>
      <w:pPr>
        <w:tabs>
          <w:tab w:val="num" w:pos="2041"/>
        </w:tabs>
        <w:ind w:left="2041" w:hanging="227"/>
      </w:pPr>
      <w:rPr/>
    </w:lvl>
  </w:abstractNum>
  <w:abstractNum w:abstractNumId="2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>
        <w:sz w:val="20"/>
        <w:szCs w:val="2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460"/>
        </w:tabs>
        <w:ind w:left="460" w:hanging="460"/>
      </w:pPr>
      <w:rPr/>
    </w:lvl>
    <w:lvl w:ilvl="2">
      <w:start w:val="1"/>
      <w:numFmt w:val="bullet"/>
      <w:lvlText w:val=""/>
      <w:lvlJc w:val="left"/>
      <w:pPr>
        <w:tabs>
          <w:tab w:val="num" w:pos="1600"/>
        </w:tabs>
        <w:ind w:left="1600" w:hanging="60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120"/>
      <w:ind w:left="0" w:right="567" w:hanging="0"/>
      <w:jc w:val="left"/>
    </w:pPr>
    <w:rPr>
      <w:rFonts w:ascii="Montserrat" w:hAnsi="Montserrat" w:eastAsia="NSimSun" w:cs="Arial"/>
      <w:color w:val="auto"/>
      <w:spacing w:val="-6"/>
      <w:kern w:val="0"/>
      <w:sz w:val="20"/>
      <w:szCs w:val="20"/>
      <w:lang w:val="ru-RU" w:eastAsia="zh-CN" w:bidi="hi-IN"/>
    </w:rPr>
  </w:style>
  <w:style w:type="paragraph" w:styleId="1">
    <w:name w:val="Heading 1"/>
    <w:basedOn w:val="Style15"/>
    <w:qFormat/>
    <w:pPr>
      <w:spacing w:before="227" w:after="113"/>
    </w:pPr>
    <w:rPr>
      <w:b/>
      <w:bCs/>
      <w:color w:val="2E74B5"/>
      <w:sz w:val="24"/>
      <w:szCs w:val="24"/>
    </w:rPr>
  </w:style>
  <w:style w:type="paragraph" w:styleId="2">
    <w:name w:val="Heading 2"/>
    <w:basedOn w:val="Style15"/>
    <w:qFormat/>
    <w:pPr>
      <w:spacing w:before="200" w:after="100"/>
    </w:pPr>
    <w:rPr>
      <w:b/>
      <w:bCs/>
      <w:color w:val="2E74B5"/>
      <w:sz w:val="22"/>
      <w:szCs w:val="22"/>
    </w:rPr>
  </w:style>
  <w:style w:type="paragraph" w:styleId="3">
    <w:name w:val="Heading 3"/>
    <w:basedOn w:val="Style15"/>
    <w:qFormat/>
    <w:pPr/>
    <w:rPr>
      <w:color w:val="1F4D78"/>
      <w:sz w:val="24"/>
      <w:szCs w:val="24"/>
    </w:rPr>
  </w:style>
  <w:style w:type="paragraph" w:styleId="4">
    <w:name w:val="Heading 4"/>
    <w:basedOn w:val="Style15"/>
    <w:qFormat/>
    <w:pPr/>
    <w:rPr>
      <w:i/>
      <w:iCs/>
      <w:color w:val="2E74B5"/>
    </w:rPr>
  </w:style>
  <w:style w:type="paragraph" w:styleId="5">
    <w:name w:val="Heading 5"/>
    <w:basedOn w:val="Style15"/>
    <w:qFormat/>
    <w:pPr/>
    <w:rPr>
      <w:color w:val="2E74B5"/>
    </w:rPr>
  </w:style>
  <w:style w:type="paragraph" w:styleId="6">
    <w:name w:val="Heading 6"/>
    <w:basedOn w:val="Style15"/>
    <w:qFormat/>
    <w:pPr/>
    <w:rPr>
      <w:color w:val="1F4D78"/>
    </w:rPr>
  </w:style>
  <w:style w:type="character" w:styleId="Style8">
    <w:name w:val="Hyperlink"/>
    <w:uiPriority w:val="99"/>
    <w:unhideWhenUsed/>
    <w:rPr>
      <w:color w:val="0563C1"/>
      <w:u w:val="single"/>
    </w:rPr>
  </w:style>
  <w:style w:type="character" w:styleId="Style9">
    <w:name w:val="Символ сноски"/>
    <w:uiPriority w:val="99"/>
    <w:semiHidden/>
    <w:unhideWhenUsed/>
    <w:qFormat/>
    <w:rPr>
      <w:vertAlign w:val="superscript"/>
    </w:rPr>
  </w:style>
  <w:style w:type="character" w:styleId="Style10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12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Style13">
    <w:name w:val="Символ нумерации"/>
    <w:qFormat/>
    <w:rPr/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Style20">
    <w:name w:val="Title"/>
    <w:basedOn w:val="Style15"/>
    <w:qFormat/>
    <w:pPr/>
    <w:rPr>
      <w:sz w:val="56"/>
      <w:szCs w:val="56"/>
    </w:rPr>
  </w:style>
  <w:style w:type="paragraph" w:styleId="Strong">
    <w:name w:val="Stro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b/>
      <w:bCs/>
      <w:color w:val="auto"/>
      <w:kern w:val="0"/>
      <w:sz w:val="20"/>
      <w:szCs w:val="20"/>
      <w:lang w:val="ru-RU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0"/>
      <w:szCs w:val="20"/>
      <w:lang w:val="ru-RU" w:eastAsia="zh-CN" w:bidi="hi-IN"/>
    </w:rPr>
  </w:style>
  <w:style w:type="paragraph" w:styleId="Style21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2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Style23"/>
    <w:pPr/>
    <w:rPr/>
  </w:style>
  <w:style w:type="paragraph" w:styleId="Style25">
    <w:name w:val="Footer"/>
    <w:basedOn w:val="Style23"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100"/>
      <w:contextualSpacing/>
    </w:pPr>
    <w:rPr/>
  </w:style>
  <w:style w:type="numbering" w:styleId="123">
    <w:name w:val="Нумерованный 123"/>
    <w:qFormat/>
  </w:style>
  <w:style w:type="numbering" w:styleId="Style29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949</TotalTime>
  <Application>LibreOffice/7.4.4.2$Windows_X86_64 LibreOffice_project/85569322deea74ec9134968a29af2df5663baa21</Application>
  <AppVersion>15.0000</AppVersion>
  <Pages>2</Pages>
  <Words>683</Words>
  <Characters>4419</Characters>
  <CharactersWithSpaces>5030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2026-09-26T15:03:28Z</dcterms:created>
  <dc:creator>АВТОР · концепт</dc:creator>
  <dc:description/>
  <dc:language>ru-RU</dc:language>
  <cp:lastModifiedBy/>
  <dcterms:modified xsi:type="dcterms:W3CDTF">2026-10-17T12:23:53Z</dcterms:modified>
  <cp:revision>52</cp:revision>
  <dc:subject/>
  <dc:title>Регламент обращений и удаления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